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3179" w:rsidRDefault="00DF3179"/>
    <w:p w:rsidR="0027008F" w:rsidRDefault="0027008F"/>
    <w:p w:rsidR="0027008F" w:rsidRDefault="0027008F">
      <w:hyperlink r:id="rId5" w:history="1">
        <w:r w:rsidRPr="001E641F">
          <w:rPr>
            <w:rStyle w:val="Hipercze"/>
          </w:rPr>
          <w:t>https://topforeignstocks.com/foreign-adrs-list/the-full-list-of-japanese-adrs/</w:t>
        </w:r>
      </w:hyperlink>
    </w:p>
    <w:p w:rsidR="001A490C" w:rsidRDefault="001A490C" w:rsidP="001A490C">
      <w:r>
        <w:t>Zobacz tą stronę!</w:t>
      </w:r>
    </w:p>
    <w:p w:rsidR="0027008F" w:rsidRDefault="0027008F" w:rsidP="001A490C">
      <w:pPr>
        <w:ind w:firstLine="708"/>
      </w:pPr>
    </w:p>
    <w:p w:rsidR="00434479" w:rsidRDefault="00434479"/>
    <w:p w:rsidR="00434479" w:rsidRDefault="00434479">
      <w:hyperlink r:id="rId6" w:history="1">
        <w:r w:rsidRPr="001E641F">
          <w:rPr>
            <w:rStyle w:val="Hipercze"/>
          </w:rPr>
          <w:t>https://www.jpx.co.jp/english/corporate/index.html</w:t>
        </w:r>
      </w:hyperlink>
    </w:p>
    <w:p w:rsidR="00E54773" w:rsidRDefault="00E54773">
      <w:r>
        <w:t>Zobacz tą stronę!</w:t>
      </w:r>
    </w:p>
    <w:p w:rsidR="00E54773" w:rsidRDefault="00E54773">
      <w:r>
        <w:t>Jest MENU i tam znajdziesz wiele informacji</w:t>
      </w:r>
    </w:p>
    <w:p w:rsidR="00434479" w:rsidRPr="00434479" w:rsidRDefault="00434479" w:rsidP="00434479">
      <w:pPr>
        <w:pBdr>
          <w:bottom w:val="single" w:sz="6" w:space="0" w:color="D1D1D1"/>
        </w:pBdr>
        <w:spacing w:before="720" w:after="180" w:line="240" w:lineRule="auto"/>
        <w:outlineLvl w:val="1"/>
        <w:rPr>
          <w:rFonts w:ascii="Times New Roman" w:eastAsia="Times New Roman" w:hAnsi="Times New Roman" w:cs="Times New Roman"/>
          <w:sz w:val="24"/>
          <w:szCs w:val="24"/>
          <w:lang w:eastAsia="pl-PL"/>
        </w:rPr>
      </w:pPr>
      <w:proofErr w:type="spellStart"/>
      <w:r w:rsidRPr="00434479">
        <w:rPr>
          <w:rFonts w:ascii="Times New Roman" w:eastAsia="Times New Roman" w:hAnsi="Times New Roman" w:cs="Times New Roman"/>
          <w:b/>
          <w:bCs/>
          <w:sz w:val="24"/>
          <w:szCs w:val="24"/>
          <w:shd w:val="clear" w:color="auto" w:fill="FFFFFF"/>
          <w:lang w:eastAsia="pl-PL"/>
        </w:rPr>
        <w:t>About</w:t>
      </w:r>
      <w:proofErr w:type="spellEnd"/>
      <w:r w:rsidRPr="00434479">
        <w:rPr>
          <w:rFonts w:ascii="Times New Roman" w:eastAsia="Times New Roman" w:hAnsi="Times New Roman" w:cs="Times New Roman"/>
          <w:b/>
          <w:bCs/>
          <w:sz w:val="24"/>
          <w:szCs w:val="24"/>
          <w:shd w:val="clear" w:color="auto" w:fill="FFFFFF"/>
          <w:lang w:eastAsia="pl-PL"/>
        </w:rPr>
        <w:t xml:space="preserve"> JPX</w:t>
      </w:r>
    </w:p>
    <w:p w:rsidR="00434479" w:rsidRPr="00434479" w:rsidRDefault="00434479" w:rsidP="00434479">
      <w:pPr>
        <w:spacing w:before="360" w:after="540" w:line="240" w:lineRule="auto"/>
        <w:ind w:left="180" w:right="180"/>
        <w:rPr>
          <w:rFonts w:ascii="Times New Roman" w:eastAsia="Times New Roman" w:hAnsi="Times New Roman" w:cs="Times New Roman"/>
          <w:sz w:val="24"/>
          <w:szCs w:val="24"/>
          <w:lang w:val="en-US" w:eastAsia="pl-PL"/>
        </w:rPr>
      </w:pPr>
      <w:r w:rsidRPr="00434479">
        <w:rPr>
          <w:rFonts w:ascii="Times New Roman" w:eastAsia="Times New Roman" w:hAnsi="Times New Roman" w:cs="Times New Roman"/>
          <w:sz w:val="24"/>
          <w:szCs w:val="24"/>
          <w:lang w:val="en-US" w:eastAsia="pl-PL"/>
        </w:rPr>
        <w:t>Japan Exchange Group, Inc. (JPX) was established via the business combination between Tokyo Stock Exchange Group and Osaka Securities Exchange on January 1, 2013.</w:t>
      </w:r>
      <w:r w:rsidRPr="00434479">
        <w:rPr>
          <w:rFonts w:ascii="Times New Roman" w:eastAsia="Times New Roman" w:hAnsi="Times New Roman" w:cs="Times New Roman"/>
          <w:sz w:val="24"/>
          <w:szCs w:val="24"/>
          <w:lang w:val="en-US" w:eastAsia="pl-PL"/>
        </w:rPr>
        <w:br/>
        <w:t>On October 1, 2019, JPX expanded its business into commodity derivatives trading by acquiring Tokyo Commodity Exchange, Inc.</w:t>
      </w:r>
      <w:r w:rsidRPr="00434479">
        <w:rPr>
          <w:rFonts w:ascii="Times New Roman" w:eastAsia="Times New Roman" w:hAnsi="Times New Roman" w:cs="Times New Roman"/>
          <w:sz w:val="24"/>
          <w:szCs w:val="24"/>
          <w:lang w:val="en-US" w:eastAsia="pl-PL"/>
        </w:rPr>
        <w:br/>
      </w:r>
      <w:r w:rsidRPr="00434479">
        <w:rPr>
          <w:rFonts w:ascii="Times New Roman" w:eastAsia="Times New Roman" w:hAnsi="Times New Roman" w:cs="Times New Roman"/>
          <w:sz w:val="24"/>
          <w:szCs w:val="24"/>
          <w:lang w:val="en-US" w:eastAsia="pl-PL"/>
        </w:rPr>
        <w:br/>
        <w:t>JPX operates financial instruments exchange markets to provide market users with reliable venues for trading listed securities and derivatives instruments. In addition to providing market infrastructure and market data, JPX also provides clearing and settlement services through a central counterparty and conducts trading oversight to maintain the integrity of the markets. In the course of working together as an exchange group to offer a comprehensive range of services, we continue to make every effort to ensure reliable markets and create greater convenience for all market users.</w:t>
      </w:r>
    </w:p>
    <w:p w:rsidR="00434479" w:rsidRPr="00CB2B70" w:rsidRDefault="00434479" w:rsidP="00434479">
      <w:pPr>
        <w:rPr>
          <w:rFonts w:ascii="Times New Roman" w:eastAsia="Times New Roman" w:hAnsi="Times New Roman" w:cs="Times New Roman"/>
          <w:sz w:val="24"/>
          <w:szCs w:val="24"/>
          <w:lang w:val="en-US" w:eastAsia="pl-PL"/>
        </w:rPr>
      </w:pPr>
      <w:hyperlink r:id="rId7" w:history="1">
        <w:r w:rsidRPr="00434479">
          <w:rPr>
            <w:rFonts w:ascii="Times New Roman" w:eastAsia="Times New Roman" w:hAnsi="Times New Roman" w:cs="Times New Roman"/>
            <w:color w:val="000000"/>
            <w:sz w:val="24"/>
            <w:szCs w:val="24"/>
            <w:bdr w:val="none" w:sz="0" w:space="0" w:color="auto" w:frame="1"/>
            <w:lang w:val="en-US" w:eastAsia="pl-PL"/>
          </w:rPr>
          <w:br/>
        </w:r>
      </w:hyperlink>
      <w:hyperlink r:id="rId8" w:history="1">
        <w:r w:rsidR="00CB2B70" w:rsidRPr="00CB2B70">
          <w:rPr>
            <w:rStyle w:val="Hipercze"/>
            <w:rFonts w:ascii="Times New Roman" w:eastAsia="Times New Roman" w:hAnsi="Times New Roman" w:cs="Times New Roman"/>
            <w:sz w:val="24"/>
            <w:szCs w:val="24"/>
            <w:lang w:val="en-US" w:eastAsia="pl-PL"/>
          </w:rPr>
          <w:t>https://en.wikipedia.org/wiki/List_of_major_stock_exchanges</w:t>
        </w:r>
      </w:hyperlink>
    </w:p>
    <w:p w:rsidR="00CB2B70" w:rsidRDefault="00683823" w:rsidP="00434479">
      <w:pPr>
        <w:rPr>
          <w:lang w:val="en-US"/>
        </w:rPr>
      </w:pPr>
      <w:hyperlink r:id="rId9" w:history="1">
        <w:r w:rsidRPr="001E641F">
          <w:rPr>
            <w:rStyle w:val="Hipercze"/>
            <w:lang w:val="en-US"/>
          </w:rPr>
          <w:t>https://en.wikipedia.org/wiki/Japan_Exchange_Group</w:t>
        </w:r>
      </w:hyperlink>
    </w:p>
    <w:p w:rsidR="00683823" w:rsidRDefault="00683823" w:rsidP="00434479">
      <w:pPr>
        <w:rPr>
          <w:lang w:val="en-US"/>
        </w:rPr>
      </w:pPr>
      <w:hyperlink r:id="rId10" w:history="1">
        <w:r w:rsidRPr="001E641F">
          <w:rPr>
            <w:rStyle w:val="Hipercze"/>
            <w:lang w:val="en-US"/>
          </w:rPr>
          <w:t>https://en.wikipedia.org/wiki/Tokyo_Stock_Exchange</w:t>
        </w:r>
      </w:hyperlink>
    </w:p>
    <w:p w:rsidR="00683823" w:rsidRDefault="0088440F" w:rsidP="00434479">
      <w:pPr>
        <w:rPr>
          <w:lang w:val="en-US"/>
        </w:rPr>
      </w:pPr>
      <w:hyperlink r:id="rId11" w:history="1">
        <w:r w:rsidRPr="001E641F">
          <w:rPr>
            <w:rStyle w:val="Hipercze"/>
            <w:lang w:val="en-US"/>
          </w:rPr>
          <w:t>https://www.jpx.co.jp/english/corporate/about-jpx/profile/01.htm</w:t>
        </w:r>
      </w:hyperlink>
    </w:p>
    <w:p w:rsidR="0088440F" w:rsidRDefault="001A1E9C" w:rsidP="00434479">
      <w:pPr>
        <w:rPr>
          <w:lang w:val="en-US"/>
        </w:rPr>
      </w:pPr>
      <w:hyperlink r:id="rId12" w:history="1">
        <w:r w:rsidRPr="001E641F">
          <w:rPr>
            <w:rStyle w:val="Hipercze"/>
            <w:lang w:val="en-US"/>
          </w:rPr>
          <w:t>https://www.jpx.co.jp/english/equities/trading/domestic/index.html</w:t>
        </w:r>
      </w:hyperlink>
    </w:p>
    <w:p w:rsidR="001A1E9C" w:rsidRPr="001A1E9C" w:rsidRDefault="001A1E9C" w:rsidP="001A1E9C">
      <w:pPr>
        <w:pStyle w:val="Nagwek3"/>
        <w:pBdr>
          <w:left w:val="single" w:sz="12" w:space="0" w:color="E8001F"/>
        </w:pBdr>
        <w:shd w:val="clear" w:color="auto" w:fill="FFFFFF"/>
        <w:spacing w:before="180" w:after="180"/>
        <w:rPr>
          <w:rFonts w:ascii="MS PGothic" w:eastAsia="MS PGothic" w:hAnsi="MS PGothic"/>
          <w:color w:val="000000"/>
          <w:spacing w:val="15"/>
          <w:sz w:val="20"/>
          <w:szCs w:val="20"/>
          <w:lang w:val="en-US"/>
        </w:rPr>
      </w:pPr>
      <w:r w:rsidRPr="001A1E9C">
        <w:rPr>
          <w:rFonts w:ascii="MS PGothic" w:eastAsia="MS PGothic" w:hAnsi="MS PGothic" w:hint="eastAsia"/>
          <w:b/>
          <w:bCs/>
          <w:color w:val="000000"/>
          <w:spacing w:val="15"/>
          <w:sz w:val="26"/>
          <w:szCs w:val="26"/>
          <w:lang w:val="en-US"/>
        </w:rPr>
        <w:t>Guide to TSE Trading Methodology</w:t>
      </w:r>
    </w:p>
    <w:p w:rsidR="001A1E9C" w:rsidRPr="001A1E9C" w:rsidRDefault="001A1E9C" w:rsidP="001A1E9C">
      <w:pPr>
        <w:pStyle w:val="component-text"/>
        <w:shd w:val="clear" w:color="auto" w:fill="FFFFFF"/>
        <w:spacing w:before="120" w:beforeAutospacing="0" w:after="105" w:afterAutospacing="0"/>
        <w:ind w:left="180" w:right="180"/>
        <w:rPr>
          <w:rFonts w:ascii="MS PGothic" w:eastAsia="MS PGothic" w:hAnsi="MS PGothic" w:hint="eastAsia"/>
          <w:color w:val="000000"/>
          <w:spacing w:val="15"/>
          <w:sz w:val="20"/>
          <w:szCs w:val="20"/>
          <w:lang w:val="en-US"/>
        </w:rPr>
      </w:pPr>
      <w:r w:rsidRPr="001A1E9C">
        <w:rPr>
          <w:rFonts w:ascii="MS PGothic" w:eastAsia="MS PGothic" w:hAnsi="MS PGothic" w:hint="eastAsia"/>
          <w:color w:val="000000"/>
          <w:spacing w:val="15"/>
          <w:sz w:val="20"/>
          <w:szCs w:val="20"/>
          <w:lang w:val="en-US"/>
        </w:rPr>
        <w:t>For investors to understand the TSE trading methodology, TSE offers "Guide to TSE Trading Methodology", a guide book explains how transactions on the TSE market works. The PDF file of the guide book is available online for free. To download, please click the following link.</w:t>
      </w:r>
    </w:p>
    <w:p w:rsidR="001A1E9C" w:rsidRDefault="001A1E9C" w:rsidP="00434479">
      <w:pPr>
        <w:rPr>
          <w:lang w:val="en-US"/>
        </w:rPr>
      </w:pPr>
      <w:proofErr w:type="spellStart"/>
      <w:r>
        <w:rPr>
          <w:lang w:val="en-US"/>
        </w:rPr>
        <w:t>ściągnąłem</w:t>
      </w:r>
      <w:proofErr w:type="spellEnd"/>
      <w:r>
        <w:rPr>
          <w:lang w:val="en-US"/>
        </w:rPr>
        <w:t xml:space="preserve"> </w:t>
      </w:r>
      <w:proofErr w:type="spellStart"/>
      <w:r>
        <w:rPr>
          <w:lang w:val="en-US"/>
        </w:rPr>
        <w:t>plik</w:t>
      </w:r>
      <w:proofErr w:type="spellEnd"/>
      <w:r>
        <w:rPr>
          <w:lang w:val="en-US"/>
        </w:rPr>
        <w:t xml:space="preserve"> pdf</w:t>
      </w:r>
    </w:p>
    <w:p w:rsidR="001A1E9C" w:rsidRDefault="001A1E9C" w:rsidP="00434479">
      <w:pPr>
        <w:rPr>
          <w:rFonts w:ascii="MS PGothic" w:eastAsia="MS PGothic" w:hAnsi="MS PGothic"/>
          <w:color w:val="000000"/>
          <w:spacing w:val="15"/>
          <w:sz w:val="20"/>
          <w:szCs w:val="20"/>
          <w:shd w:val="clear" w:color="auto" w:fill="FFFFFF"/>
          <w:lang w:val="en-US"/>
        </w:rPr>
      </w:pPr>
      <w:r w:rsidRPr="001A1E9C">
        <w:rPr>
          <w:rFonts w:ascii="MS PGothic" w:eastAsia="MS PGothic" w:hAnsi="MS PGothic" w:hint="eastAsia"/>
          <w:color w:val="000000"/>
          <w:spacing w:val="15"/>
          <w:sz w:val="20"/>
          <w:szCs w:val="20"/>
          <w:shd w:val="clear" w:color="auto" w:fill="FFFFFF"/>
          <w:lang w:val="en-US"/>
        </w:rPr>
        <w:lastRenderedPageBreak/>
        <w:t>Traditionally, trading of stocks was conducted by traders physically on the exchange's trading floor. Tokyo Stock Exchange (TSE) first introduced a computerized trading system for some issues on the TSE 2nd Section, which was one of the market divisions at the time, in January 1982. After this, trading using computerized systems expanded, and the physical trading floor was completely closed on April 30, 1999. Since then, all regular trades of stocks have been conducted through computerized trading systems.</w:t>
      </w:r>
      <w:r w:rsidRPr="001A1E9C">
        <w:rPr>
          <w:rFonts w:ascii="MS PGothic" w:eastAsia="MS PGothic" w:hAnsi="MS PGothic" w:hint="eastAsia"/>
          <w:color w:val="000000"/>
          <w:spacing w:val="15"/>
          <w:sz w:val="20"/>
          <w:szCs w:val="20"/>
          <w:lang w:val="en-US"/>
        </w:rPr>
        <w:br/>
      </w:r>
      <w:r w:rsidRPr="001A1E9C">
        <w:rPr>
          <w:rFonts w:ascii="MS PGothic" w:eastAsia="MS PGothic" w:hAnsi="MS PGothic" w:hint="eastAsia"/>
          <w:color w:val="000000"/>
          <w:spacing w:val="15"/>
          <w:sz w:val="20"/>
          <w:szCs w:val="20"/>
          <w:lang w:val="en-US"/>
        </w:rPr>
        <w:br/>
      </w:r>
      <w:r w:rsidRPr="001A1E9C">
        <w:rPr>
          <w:rFonts w:ascii="MS PGothic" w:eastAsia="MS PGothic" w:hAnsi="MS PGothic" w:hint="eastAsia"/>
          <w:color w:val="000000"/>
          <w:spacing w:val="15"/>
          <w:sz w:val="20"/>
          <w:szCs w:val="20"/>
          <w:shd w:val="clear" w:color="auto" w:fill="FFFFFF"/>
          <w:lang w:val="en-US"/>
        </w:rPr>
        <w:t>The current trading system, which has been in place since January 4, 2010, is called arrowhead. Now there are more than 3,000 listed companies on TSE and orders are in the tens of millions a day, but this huge number of transactions is all processed by arrowhead.</w:t>
      </w:r>
    </w:p>
    <w:p w:rsidR="000135EE" w:rsidRDefault="000135EE" w:rsidP="00434479">
      <w:pPr>
        <w:rPr>
          <w:rFonts w:ascii="MS PGothic" w:eastAsia="MS PGothic" w:hAnsi="MS PGothic"/>
          <w:color w:val="000000"/>
          <w:spacing w:val="15"/>
          <w:sz w:val="20"/>
          <w:szCs w:val="20"/>
          <w:shd w:val="clear" w:color="auto" w:fill="FFFFFF"/>
          <w:lang w:val="en-US"/>
        </w:rPr>
      </w:pPr>
    </w:p>
    <w:p w:rsidR="000135EE" w:rsidRDefault="000135EE" w:rsidP="000135EE">
      <w:pPr>
        <w:pStyle w:val="Nagwek1"/>
        <w:rPr>
          <w:rFonts w:ascii="MS PGothic" w:eastAsia="MS PGothic" w:hAnsi="MS PGothic"/>
          <w:color w:val="000000"/>
          <w:spacing w:val="15"/>
          <w:sz w:val="20"/>
          <w:szCs w:val="20"/>
          <w:shd w:val="clear" w:color="auto" w:fill="FFFFFF"/>
        </w:rPr>
      </w:pPr>
      <w:r w:rsidRPr="000135EE">
        <w:rPr>
          <w:rFonts w:ascii="MS PGothic" w:eastAsia="MS PGothic" w:hAnsi="MS PGothic"/>
          <w:color w:val="000000"/>
          <w:spacing w:val="15"/>
          <w:sz w:val="20"/>
          <w:szCs w:val="20"/>
          <w:shd w:val="clear" w:color="auto" w:fill="FFFFFF"/>
        </w:rPr>
        <w:t xml:space="preserve">książki do </w:t>
      </w:r>
      <w:proofErr w:type="spellStart"/>
      <w:r w:rsidRPr="000135EE">
        <w:rPr>
          <w:rFonts w:ascii="MS PGothic" w:eastAsia="MS PGothic" w:hAnsi="MS PGothic"/>
          <w:color w:val="000000"/>
          <w:spacing w:val="15"/>
          <w:sz w:val="20"/>
          <w:szCs w:val="20"/>
          <w:shd w:val="clear" w:color="auto" w:fill="FFFFFF"/>
        </w:rPr>
        <w:t>saprawdzenia</w:t>
      </w:r>
      <w:proofErr w:type="spellEnd"/>
      <w:r w:rsidRPr="000135EE">
        <w:rPr>
          <w:rFonts w:ascii="MS PGothic" w:eastAsia="MS PGothic" w:hAnsi="MS PGothic"/>
          <w:color w:val="000000"/>
          <w:spacing w:val="15"/>
          <w:sz w:val="20"/>
          <w:szCs w:val="20"/>
          <w:shd w:val="clear" w:color="auto" w:fill="FFFFFF"/>
        </w:rPr>
        <w:t xml:space="preserve">: </w:t>
      </w:r>
    </w:p>
    <w:p w:rsidR="00A21C03" w:rsidRDefault="00A21C03" w:rsidP="00A21C03">
      <w:hyperlink r:id="rId13" w:history="1">
        <w:r w:rsidRPr="001E641F">
          <w:rPr>
            <w:rStyle w:val="Hipercze"/>
          </w:rPr>
          <w:t>https://shop.elsevier.com/books/japanese-financial-markets/ujiie/978-1-85573-596-5</w:t>
        </w:r>
      </w:hyperlink>
    </w:p>
    <w:p w:rsidR="000135EE" w:rsidRDefault="000135EE" w:rsidP="000135EE">
      <w:pPr>
        <w:pStyle w:val="Nagwek1"/>
      </w:pPr>
      <w:proofErr w:type="spellStart"/>
      <w:r>
        <w:t>Japanese</w:t>
      </w:r>
      <w:proofErr w:type="spellEnd"/>
      <w:r>
        <w:t xml:space="preserve"> Financial </w:t>
      </w:r>
      <w:proofErr w:type="spellStart"/>
      <w:r>
        <w:t>Markets</w:t>
      </w:r>
      <w:proofErr w:type="spellEnd"/>
      <w:r>
        <w:t xml:space="preserve"> </w:t>
      </w:r>
    </w:p>
    <w:p w:rsidR="00A21C03" w:rsidRDefault="00A21C03" w:rsidP="00A21C03"/>
    <w:p w:rsidR="00A21C03" w:rsidRDefault="00A21C03" w:rsidP="00A21C03"/>
    <w:p w:rsidR="00A21C03" w:rsidRDefault="00A21C03" w:rsidP="00A21C03">
      <w:hyperlink r:id="rId14" w:history="1">
        <w:r w:rsidRPr="001E641F">
          <w:rPr>
            <w:rStyle w:val="Hipercze"/>
          </w:rPr>
          <w:t>https://pl.investing.com/markets/japan</w:t>
        </w:r>
      </w:hyperlink>
    </w:p>
    <w:p w:rsidR="00A21C03" w:rsidRDefault="00A21C03" w:rsidP="00A21C03">
      <w:hyperlink r:id="rId15" w:history="1">
        <w:r w:rsidRPr="001E641F">
          <w:rPr>
            <w:rStyle w:val="Hipercze"/>
          </w:rPr>
          <w:t>https://pl.tradingview.com/markets/japan/</w:t>
        </w:r>
      </w:hyperlink>
    </w:p>
    <w:p w:rsidR="00A21C03" w:rsidRDefault="00A21C03" w:rsidP="00A21C03">
      <w:hyperlink r:id="rId16" w:history="1">
        <w:r w:rsidRPr="001E641F">
          <w:rPr>
            <w:rStyle w:val="Hipercze"/>
          </w:rPr>
          <w:t>https://admiralmarkets.com/pl/education/articles/shares/akcje-rynku-japonskiego</w:t>
        </w:r>
      </w:hyperlink>
    </w:p>
    <w:p w:rsidR="00CD6231" w:rsidRDefault="00CD6231" w:rsidP="00CD6231">
      <w:r>
        <w:rPr>
          <w:noProof/>
          <w:color w:val="0000FF"/>
          <w:lang w:eastAsia="pl-PL"/>
        </w:rPr>
        <w:drawing>
          <wp:inline distT="0" distB="0" distL="0" distR="0">
            <wp:extent cx="647700" cy="647700"/>
            <wp:effectExtent l="0" t="0" r="0" b="0"/>
            <wp:docPr id="29" name="Obraz 29" descr="Admirals">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Admirals">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p>
    <w:p w:rsidR="00CD6231" w:rsidRDefault="00CD6231" w:rsidP="00CD6231">
      <w:r>
        <w:t xml:space="preserve">Jan 15, 2024 </w:t>
      </w:r>
    </w:p>
    <w:p w:rsidR="00CD6231" w:rsidRDefault="00CD6231" w:rsidP="00CD6231">
      <w:pPr>
        <w:pStyle w:val="NormalnyWeb"/>
        <w:jc w:val="both"/>
      </w:pPr>
      <w:r>
        <w:t>Czy wiesz, że giełda w Tokio jest trzecim co do wielkości rynkiem akcji na świecie? Do najbardziej znanych spółek notowanych na japońskiej giełdzie (</w:t>
      </w:r>
      <w:proofErr w:type="spellStart"/>
      <w:r>
        <w:rPr>
          <w:rStyle w:val="Pogrubienie"/>
          <w:rFonts w:eastAsiaTheme="majorEastAsia"/>
        </w:rPr>
        <w:t>Tokyo</w:t>
      </w:r>
      <w:proofErr w:type="spellEnd"/>
      <w:r>
        <w:rPr>
          <w:rStyle w:val="Pogrubienie"/>
          <w:rFonts w:eastAsiaTheme="majorEastAsia"/>
        </w:rPr>
        <w:t xml:space="preserve"> Stock Exchange</w:t>
      </w:r>
      <w:r>
        <w:t xml:space="preserve">) należą między innymi: Toyota, Sony i Panasonic. Bez względu na to, gdzie się znajdujesz, możliwość inwestowania w </w:t>
      </w:r>
      <w:r>
        <w:rPr>
          <w:rStyle w:val="Pogrubienie"/>
          <w:rFonts w:eastAsiaTheme="majorEastAsia"/>
        </w:rPr>
        <w:t>akcje rynku japońskiego</w:t>
      </w:r>
      <w:r>
        <w:t xml:space="preserve"> nigdy nie było prostsze, a potencjalne okazje do handlu, jakie mogą one zapewnić, nie powinny być dłużej ignorowane.</w:t>
      </w:r>
    </w:p>
    <w:p w:rsidR="00CD6231" w:rsidRDefault="00CD6231" w:rsidP="00CD6231">
      <w:pPr>
        <w:pStyle w:val="NormalnyWeb"/>
        <w:jc w:val="both"/>
      </w:pPr>
      <w:r>
        <w:rPr>
          <w:noProof/>
        </w:rPr>
        <w:lastRenderedPageBreak/>
        <w:drawing>
          <wp:inline distT="0" distB="0" distL="0" distR="0">
            <wp:extent cx="13716000" cy="7715250"/>
            <wp:effectExtent l="0" t="0" r="0" b="0"/>
            <wp:docPr id="26" name="Obraz 26" descr="gielda japo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gielda japonia"/>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716000" cy="7715250"/>
                    </a:xfrm>
                    <a:prstGeom prst="rect">
                      <a:avLst/>
                    </a:prstGeom>
                    <a:noFill/>
                    <a:ln>
                      <a:noFill/>
                    </a:ln>
                  </pic:spPr>
                </pic:pic>
              </a:graphicData>
            </a:graphic>
          </wp:inline>
        </w:drawing>
      </w:r>
    </w:p>
    <w:p w:rsidR="00CD6231" w:rsidRDefault="00CD6231" w:rsidP="00CD6231">
      <w:pPr>
        <w:pStyle w:val="NormalnyWeb"/>
        <w:jc w:val="both"/>
      </w:pPr>
      <w:r>
        <w:t>W artykule omówimy:</w:t>
      </w:r>
    </w:p>
    <w:p w:rsidR="00CD6231" w:rsidRDefault="00CD6231" w:rsidP="00CD6231">
      <w:pPr>
        <w:pStyle w:val="NormalnyWeb"/>
        <w:ind w:left="300"/>
        <w:jc w:val="both"/>
      </w:pPr>
      <w:r>
        <w:rPr>
          <w:rFonts w:ascii="Segoe UI Symbol" w:hAnsi="Segoe UI Symbol" w:cs="Segoe UI Symbol"/>
        </w:rPr>
        <w:t>✔</w:t>
      </w:r>
      <w:r>
        <w:t xml:space="preserve"> Powody, dla których japońskie akcje są najbardziej pożądane przez inwestorów oraz dlaczego Bank Japonii również dokonuje pośredniego ich nabycia.</w:t>
      </w:r>
    </w:p>
    <w:p w:rsidR="00CD6231" w:rsidRDefault="00CD6231" w:rsidP="00CD6231">
      <w:pPr>
        <w:pStyle w:val="NormalnyWeb"/>
        <w:ind w:left="300"/>
        <w:jc w:val="both"/>
      </w:pPr>
      <w:r>
        <w:rPr>
          <w:rFonts w:ascii="Segoe UI Symbol" w:hAnsi="Segoe UI Symbol" w:cs="Segoe UI Symbol"/>
        </w:rPr>
        <w:lastRenderedPageBreak/>
        <w:t>✔</w:t>
      </w:r>
      <w:r>
        <w:t xml:space="preserve"> W jakim celu </w:t>
      </w:r>
      <w:proofErr w:type="spellStart"/>
      <w:r>
        <w:t>Traderzy</w:t>
      </w:r>
      <w:proofErr w:type="spellEnd"/>
      <w:r>
        <w:t xml:space="preserve"> korzystają z CFD (kontrakty różnicy kursowej), aby handlować długimi i krótkimi pozycjami na akcje japońskie i inne.</w:t>
      </w:r>
    </w:p>
    <w:p w:rsidR="00CD6231" w:rsidRDefault="00CD6231" w:rsidP="00CD6231">
      <w:pPr>
        <w:pStyle w:val="NormalnyWeb"/>
        <w:ind w:left="300"/>
        <w:jc w:val="both"/>
      </w:pPr>
      <w:r>
        <w:rPr>
          <w:rFonts w:ascii="Segoe UI Symbol" w:hAnsi="Segoe UI Symbol" w:cs="Segoe UI Symbol"/>
        </w:rPr>
        <w:t>✔</w:t>
      </w:r>
      <w:r>
        <w:t xml:space="preserve"> Co wpływa na ceny japońskich akcji.</w:t>
      </w:r>
    </w:p>
    <w:p w:rsidR="00CD6231" w:rsidRDefault="00CD6231" w:rsidP="00CD6231">
      <w:pPr>
        <w:pStyle w:val="NormalnyWeb"/>
        <w:ind w:left="300"/>
        <w:jc w:val="both"/>
      </w:pPr>
      <w:r>
        <w:rPr>
          <w:rFonts w:ascii="Segoe UI Symbol" w:hAnsi="Segoe UI Symbol" w:cs="Segoe UI Symbol"/>
        </w:rPr>
        <w:t>✔</w:t>
      </w:r>
      <w:r>
        <w:t xml:space="preserve"> Najlepszą platformę inwestycyjną do przeglądania aktualnych notowań światowych giełd, w tym </w:t>
      </w:r>
      <w:proofErr w:type="spellStart"/>
      <w:r>
        <w:t>Tokyo</w:t>
      </w:r>
      <w:proofErr w:type="spellEnd"/>
      <w:r>
        <w:t xml:space="preserve"> Stock Exchange.</w:t>
      </w:r>
    </w:p>
    <w:p w:rsidR="00CD6231" w:rsidRDefault="00CD6231" w:rsidP="00CD6231">
      <w:pPr>
        <w:pStyle w:val="NormalnyWeb"/>
        <w:ind w:left="300"/>
        <w:jc w:val="both"/>
      </w:pPr>
      <w:r>
        <w:rPr>
          <w:rFonts w:ascii="Segoe UI Symbol" w:hAnsi="Segoe UI Symbol" w:cs="Segoe UI Symbol"/>
        </w:rPr>
        <w:t>✔</w:t>
      </w:r>
      <w:r>
        <w:t xml:space="preserve"> Jak korzystać z BEZPŁATNEGO wskaźnika Trading Central Technical </w:t>
      </w:r>
      <w:proofErr w:type="spellStart"/>
      <w:r>
        <w:t>Insight</w:t>
      </w:r>
      <w:proofErr w:type="spellEnd"/>
      <w:r>
        <w:t xml:space="preserve"> dostarczonego przez </w:t>
      </w:r>
      <w:proofErr w:type="spellStart"/>
      <w:r>
        <w:t>Admirals</w:t>
      </w:r>
      <w:proofErr w:type="spellEnd"/>
      <w:r>
        <w:t>,, aby wyszukać najlepsze akcje rynku japońskiego.</w:t>
      </w:r>
    </w:p>
    <w:p w:rsidR="00CD6231" w:rsidRDefault="00CD6231" w:rsidP="00CD6231">
      <w:pPr>
        <w:pStyle w:val="NormalnyWeb"/>
        <w:ind w:left="300"/>
        <w:jc w:val="both"/>
      </w:pPr>
      <w:r>
        <w:rPr>
          <w:rFonts w:ascii="Segoe UI Symbol" w:hAnsi="Segoe UI Symbol" w:cs="Segoe UI Symbol"/>
        </w:rPr>
        <w:t>✔</w:t>
      </w:r>
      <w:r>
        <w:t xml:space="preserve"> Jak rozpocząć trading na japońskiej giełdzie za pomocą DARMOWEGO konta demo, które pozwala przećwiczyć swoje umiejętności inwestycyjne w wirtualnym środowisku.</w:t>
      </w:r>
    </w:p>
    <w:p w:rsidR="00CD6231" w:rsidRDefault="00CD6231" w:rsidP="00CD6231">
      <w:pPr>
        <w:pStyle w:val="Nagwek2"/>
        <w:jc w:val="both"/>
      </w:pPr>
      <w:proofErr w:type="spellStart"/>
      <w:r>
        <w:t>Tokyo</w:t>
      </w:r>
      <w:proofErr w:type="spellEnd"/>
      <w:r>
        <w:t xml:space="preserve"> Stock Exchange</w:t>
      </w:r>
    </w:p>
    <w:p w:rsidR="00CD6231" w:rsidRDefault="00CD6231" w:rsidP="00CD6231">
      <w:pPr>
        <w:pStyle w:val="NormalnyWeb"/>
        <w:jc w:val="both"/>
      </w:pPr>
      <w:r>
        <w:t xml:space="preserve">Japońska giełda jest zasadniczo miejscem dokonywania aukcji, gdzie inwestorzy z całego świata mogą kupować i sprzedawać akcje japońskich spółek notowanych na giełdzie. Japoński rynek akcji jest kontrolowany i regulowany przez giełdę tokijską - podobnie jak </w:t>
      </w:r>
      <w:hyperlink r:id="rId20" w:tgtFrame="_blank" w:tooltip="inwestowanie w USA" w:history="1">
        <w:r>
          <w:rPr>
            <w:rStyle w:val="Hipercze"/>
          </w:rPr>
          <w:t>giełda amerykańska</w:t>
        </w:r>
      </w:hyperlink>
      <w:r>
        <w:t>, która umożliwia inwestorom kupno i sprzedaż akcji spółek notowanych na giełdzie w Ameryce.</w:t>
      </w:r>
    </w:p>
    <w:p w:rsidR="00CD6231" w:rsidRDefault="00CD6231" w:rsidP="00CD6231">
      <w:pPr>
        <w:pStyle w:val="NormalnyWeb"/>
        <w:jc w:val="both"/>
      </w:pPr>
      <w:r>
        <w:t xml:space="preserve">Podczas gdy giełdy amerykańskie NYSE i </w:t>
      </w:r>
      <w:proofErr w:type="spellStart"/>
      <w:r>
        <w:t>Nasdaq</w:t>
      </w:r>
      <w:proofErr w:type="spellEnd"/>
      <w:r>
        <w:t xml:space="preserve"> są dwiema największymi na świecie (pod względem kapitalizacji rynkowej notowanych na niej spółek), to trzecią co do wielkości jest giełda w Tokio (TSE). Została ona założona w 1878 roku i należy do grupy giełdowej Japan Exchange </w:t>
      </w:r>
      <w:proofErr w:type="spellStart"/>
      <w:r>
        <w:t>Group</w:t>
      </w:r>
      <w:proofErr w:type="spellEnd"/>
      <w:r>
        <w:t xml:space="preserve">, która powstała w wyniku fuzji Osaka Securities Stock Exchange i </w:t>
      </w:r>
      <w:proofErr w:type="spellStart"/>
      <w:r>
        <w:t>Tokyo</w:t>
      </w:r>
      <w:proofErr w:type="spellEnd"/>
      <w:r>
        <w:t xml:space="preserve"> Stock Exchange w 2013 roku.</w:t>
      </w:r>
    </w:p>
    <w:p w:rsidR="00CD6231" w:rsidRDefault="00CD6231" w:rsidP="00CD6231">
      <w:pPr>
        <w:pStyle w:val="NormalnyWeb"/>
        <w:jc w:val="both"/>
      </w:pPr>
      <w:r>
        <w:rPr>
          <w:noProof/>
        </w:rPr>
        <w:lastRenderedPageBreak/>
        <w:drawing>
          <wp:inline distT="0" distB="0" distL="0" distR="0">
            <wp:extent cx="5930900" cy="5638800"/>
            <wp:effectExtent l="0" t="0" r="0" b="0"/>
            <wp:docPr id="25" name="Obraz 25" descr="Tokyo Stock Exchange - japoński rynek akcj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Tokyo Stock Exchange - japoński rynek akcji"/>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30900" cy="5638800"/>
                    </a:xfrm>
                    <a:prstGeom prst="rect">
                      <a:avLst/>
                    </a:prstGeom>
                    <a:noFill/>
                    <a:ln>
                      <a:noFill/>
                    </a:ln>
                  </pic:spPr>
                </pic:pic>
              </a:graphicData>
            </a:graphic>
          </wp:inline>
        </w:drawing>
      </w:r>
    </w:p>
    <w:p w:rsidR="00CD6231" w:rsidRDefault="00CD6231" w:rsidP="00CD6231">
      <w:pPr>
        <w:pStyle w:val="NormalnyWeb"/>
        <w:jc w:val="both"/>
      </w:pPr>
      <w:r>
        <w:rPr>
          <w:rStyle w:val="Uwydatnienie"/>
        </w:rPr>
        <w:t xml:space="preserve">Źródło: </w:t>
      </w:r>
      <w:hyperlink r:id="rId22" w:tgtFrame="_blank" w:history="1">
        <w:proofErr w:type="spellStart"/>
        <w:r>
          <w:rPr>
            <w:rStyle w:val="Hipercze"/>
          </w:rPr>
          <w:t>Statista</w:t>
        </w:r>
        <w:proofErr w:type="spellEnd"/>
      </w:hyperlink>
    </w:p>
    <w:p w:rsidR="00CD6231" w:rsidRDefault="00CD6231" w:rsidP="00CD6231">
      <w:pPr>
        <w:pStyle w:val="NormalnyWeb"/>
        <w:jc w:val="both"/>
      </w:pPr>
      <w:r>
        <w:t xml:space="preserve">Jak widać z powyższej tabeli, Japan Exchange </w:t>
      </w:r>
      <w:proofErr w:type="spellStart"/>
      <w:r>
        <w:t>Group</w:t>
      </w:r>
      <w:proofErr w:type="spellEnd"/>
      <w:r>
        <w:t xml:space="preserve"> prowadzi trzeci co do wielkości rynek akcji na świecie w oparciu o kapitalizację rynkową spółek notowanych na giełdzie. Na dzień 21 lipca 2020 roku na japońskiej giełdzie notowanych było 3 717 spółek. Niektóre z nich to znane światowe marki, takie jak Toyota, Nissan, Sony i Casio.</w:t>
      </w:r>
    </w:p>
    <w:p w:rsidR="00CD6231" w:rsidRDefault="00CD6231" w:rsidP="00CD6231">
      <w:pPr>
        <w:pStyle w:val="NormalnyWeb"/>
        <w:jc w:val="both"/>
      </w:pPr>
      <w:r>
        <w:t xml:space="preserve">Chociaż w większości popularne akcje rynku japońskiego dotyczą sektora motoryzacyjnego i elektronicznego, wyróżnia się wiele innych spółek z różnych branż, takich jak chemiczna, spożywcza i detaliczna. Wskazuje na to miesięczny raport na stronie internetowej grupy giełdowej Japan Exchange </w:t>
      </w:r>
      <w:proofErr w:type="spellStart"/>
      <w:r>
        <w:t>Group</w:t>
      </w:r>
      <w:proofErr w:type="spellEnd"/>
      <w:r>
        <w:t>, w którym wyszczególniono akcje notowane według kapitalizacji rynkowej i sektora przemysłu:</w:t>
      </w:r>
    </w:p>
    <w:p w:rsidR="00CD6231" w:rsidRDefault="00CD6231" w:rsidP="00CD6231">
      <w:pPr>
        <w:pStyle w:val="NormalnyWeb"/>
        <w:jc w:val="both"/>
      </w:pPr>
      <w:r>
        <w:rPr>
          <w:noProof/>
        </w:rPr>
        <w:lastRenderedPageBreak/>
        <w:drawing>
          <wp:inline distT="0" distB="0" distL="0" distR="0">
            <wp:extent cx="10445750" cy="7423150"/>
            <wp:effectExtent l="0" t="0" r="0" b="6350"/>
            <wp:docPr id="24" name="Obraz 24" descr="japoński rynek akcji lista spół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japoński rynek akcji lista spółek"/>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0445750" cy="7423150"/>
                    </a:xfrm>
                    <a:prstGeom prst="rect">
                      <a:avLst/>
                    </a:prstGeom>
                    <a:noFill/>
                    <a:ln>
                      <a:noFill/>
                    </a:ln>
                  </pic:spPr>
                </pic:pic>
              </a:graphicData>
            </a:graphic>
          </wp:inline>
        </w:drawing>
      </w:r>
    </w:p>
    <w:p w:rsidR="00CD6231" w:rsidRDefault="00CD6231" w:rsidP="00CD6231">
      <w:pPr>
        <w:pStyle w:val="NormalnyWeb"/>
        <w:jc w:val="both"/>
      </w:pPr>
      <w:r>
        <w:rPr>
          <w:rStyle w:val="Uwydatnienie"/>
        </w:rPr>
        <w:t xml:space="preserve">Źródło: </w:t>
      </w:r>
      <w:hyperlink r:id="rId24" w:tgtFrame="_blank" w:history="1">
        <w:r>
          <w:rPr>
            <w:rStyle w:val="Hipercze"/>
          </w:rPr>
          <w:t xml:space="preserve">Japan Exchange </w:t>
        </w:r>
        <w:proofErr w:type="spellStart"/>
        <w:r>
          <w:rPr>
            <w:rStyle w:val="Hipercze"/>
          </w:rPr>
          <w:t>Group</w:t>
        </w:r>
        <w:proofErr w:type="spellEnd"/>
      </w:hyperlink>
    </w:p>
    <w:p w:rsidR="00CD6231" w:rsidRDefault="00CD6231" w:rsidP="00CD6231">
      <w:pPr>
        <w:pStyle w:val="NormalnyWeb"/>
        <w:jc w:val="both"/>
      </w:pPr>
      <w:r>
        <w:t xml:space="preserve">Jeśli chcesz poznać najlepsze akcje rynku japońskiego dostępne do handlu w </w:t>
      </w:r>
      <w:proofErr w:type="spellStart"/>
      <w:r>
        <w:t>Admirals</w:t>
      </w:r>
      <w:proofErr w:type="spellEnd"/>
      <w:r>
        <w:t xml:space="preserve">, pobierz bezpłatną platformę transakcyjną </w:t>
      </w:r>
      <w:proofErr w:type="spellStart"/>
      <w:r>
        <w:t>MetaTrader</w:t>
      </w:r>
      <w:proofErr w:type="spellEnd"/>
      <w:r>
        <w:t xml:space="preserve"> 5 i wykonaj kroki zgodnie z instrukcją podaną w następnej sekcji artykułu. Aby rozpocząć pobieranie, wystarczy kliknąć w poniższy baner:</w:t>
      </w:r>
    </w:p>
    <w:p w:rsidR="00CD6231" w:rsidRDefault="00CD6231" w:rsidP="00CD6231">
      <w:r>
        <w:lastRenderedPageBreak/>
        <w:t xml:space="preserve">Wielozadaniowa </w:t>
      </w:r>
      <w:r>
        <w:br/>
        <w:t>platforma nr 1</w:t>
      </w:r>
    </w:p>
    <w:p w:rsidR="00CD6231" w:rsidRDefault="00CD6231" w:rsidP="00CD6231">
      <w:pPr>
        <w:pStyle w:val="NormalnyWeb"/>
      </w:pPr>
    </w:p>
    <w:p w:rsidR="00CD6231" w:rsidRDefault="00CD6231" w:rsidP="00CD6231">
      <w:hyperlink r:id="rId25" w:tgtFrame="_blank" w:history="1">
        <w:r>
          <w:rPr>
            <w:rStyle w:val="Hipercze"/>
          </w:rPr>
          <w:t>POBIERZ MT5 BEZPŁATNIE</w:t>
        </w:r>
      </w:hyperlink>
    </w:p>
    <w:p w:rsidR="00CD6231" w:rsidRDefault="00CD6231" w:rsidP="00CD6231">
      <w:r>
        <w:rPr>
          <w:noProof/>
          <w:color w:val="0000FF"/>
          <w:lang w:eastAsia="pl-PL"/>
        </w:rPr>
        <w:drawing>
          <wp:inline distT="0" distB="0" distL="0" distR="0">
            <wp:extent cx="1809750" cy="1809750"/>
            <wp:effectExtent l="0" t="0" r="0" b="0"/>
            <wp:docPr id="23" name="Obraz 23" descr="Wielozadaniowa &lt;br/&gt; platforma nr 1">
              <a:hlinkClick xmlns:a="http://schemas.openxmlformats.org/drawingml/2006/main" r:id="rId2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Wielozadaniowa &lt;br/&gt; platforma nr 1">
                      <a:hlinkClick r:id="rId25" tgtFrame="&quot;_blank&quot;"/>
                    </pic:cNvP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809750" cy="1809750"/>
                    </a:xfrm>
                    <a:prstGeom prst="rect">
                      <a:avLst/>
                    </a:prstGeom>
                    <a:noFill/>
                    <a:ln>
                      <a:noFill/>
                    </a:ln>
                  </pic:spPr>
                </pic:pic>
              </a:graphicData>
            </a:graphic>
          </wp:inline>
        </w:drawing>
      </w:r>
    </w:p>
    <w:p w:rsidR="00CD6231" w:rsidRDefault="00CD6231" w:rsidP="00CD6231">
      <w:pPr>
        <w:pStyle w:val="Nagwek3"/>
      </w:pPr>
      <w:r>
        <w:t>Japońska giełda - jak wyświetlić TOP listę akcji</w:t>
      </w:r>
    </w:p>
    <w:p w:rsidR="00CD6231" w:rsidRDefault="00CD6231" w:rsidP="00CD6231">
      <w:pPr>
        <w:pStyle w:val="NormalnyWeb"/>
        <w:jc w:val="both"/>
      </w:pPr>
      <w:r>
        <w:t xml:space="preserve">Po pobraniu darmowej platformy transakcyjnej </w:t>
      </w:r>
      <w:proofErr w:type="spellStart"/>
      <w:r>
        <w:t>MetaTrader</w:t>
      </w:r>
      <w:proofErr w:type="spellEnd"/>
      <w:r>
        <w:t xml:space="preserve"> 5 udostępnionej przez </w:t>
      </w:r>
      <w:proofErr w:type="spellStart"/>
      <w:r>
        <w:t>Admirals</w:t>
      </w:r>
      <w:proofErr w:type="spellEnd"/>
      <w:r>
        <w:t>, jesteś o krok bliżej do inwestowania w akcje rynku japońskiego. Aby sprawdzić, w jakie akcje japońskiej giełdy możesz zainwestować, wykonaj poniższe kroki:</w:t>
      </w:r>
    </w:p>
    <w:p w:rsidR="00CD6231" w:rsidRDefault="00CD6231" w:rsidP="00CD6231">
      <w:pPr>
        <w:numPr>
          <w:ilvl w:val="0"/>
          <w:numId w:val="5"/>
        </w:numPr>
        <w:spacing w:before="100" w:beforeAutospacing="1" w:after="100" w:afterAutospacing="1" w:line="240" w:lineRule="auto"/>
        <w:jc w:val="both"/>
      </w:pPr>
      <w:r>
        <w:t xml:space="preserve">Otwórz platformę </w:t>
      </w:r>
      <w:proofErr w:type="spellStart"/>
      <w:r>
        <w:t>MetaTrader</w:t>
      </w:r>
      <w:proofErr w:type="spellEnd"/>
      <w:r>
        <w:t xml:space="preserve"> 5 dostarczoną przez </w:t>
      </w:r>
      <w:proofErr w:type="spellStart"/>
      <w:r>
        <w:t>Admirals</w:t>
      </w:r>
      <w:proofErr w:type="spellEnd"/>
      <w:r>
        <w:t>.</w:t>
      </w:r>
    </w:p>
    <w:p w:rsidR="00CD6231" w:rsidRDefault="00CD6231" w:rsidP="00CD6231">
      <w:pPr>
        <w:numPr>
          <w:ilvl w:val="0"/>
          <w:numId w:val="5"/>
        </w:numPr>
        <w:spacing w:before="100" w:beforeAutospacing="1" w:after="100" w:afterAutospacing="1" w:line="240" w:lineRule="auto"/>
        <w:jc w:val="both"/>
      </w:pPr>
      <w:r>
        <w:t xml:space="preserve">Przejdź do okna "Rynek", klikając "Widok" w głównym pasku menu lub naciskając </w:t>
      </w:r>
      <w:proofErr w:type="spellStart"/>
      <w:r>
        <w:t>Ctrl+M</w:t>
      </w:r>
      <w:proofErr w:type="spellEnd"/>
      <w:r>
        <w:t xml:space="preserve"> na klawiaturze. Otworzy się lista symboli rynkowych po lewej stronie wykresu.</w:t>
      </w:r>
    </w:p>
    <w:p w:rsidR="00CD6231" w:rsidRDefault="00CD6231" w:rsidP="00CD6231">
      <w:pPr>
        <w:numPr>
          <w:ilvl w:val="0"/>
          <w:numId w:val="5"/>
        </w:numPr>
        <w:spacing w:before="100" w:beforeAutospacing="1" w:after="100" w:afterAutospacing="1" w:line="240" w:lineRule="auto"/>
        <w:jc w:val="both"/>
      </w:pPr>
      <w:r>
        <w:t xml:space="preserve">Kliknij prawym przyciskiem myszy w oknie "Rynek" i wybierz "Symbole". Alternatywnie, naciśnij </w:t>
      </w:r>
      <w:proofErr w:type="spellStart"/>
      <w:r>
        <w:t>Ctrl+U</w:t>
      </w:r>
      <w:proofErr w:type="spellEnd"/>
      <w:r>
        <w:t xml:space="preserve"> na klawiaturze.</w:t>
      </w:r>
    </w:p>
    <w:p w:rsidR="00CD6231" w:rsidRDefault="00CD6231" w:rsidP="00CD6231">
      <w:pPr>
        <w:numPr>
          <w:ilvl w:val="0"/>
          <w:numId w:val="5"/>
        </w:numPr>
        <w:spacing w:before="100" w:beforeAutospacing="1" w:after="100" w:afterAutospacing="1" w:line="240" w:lineRule="auto"/>
        <w:jc w:val="both"/>
      </w:pPr>
      <w:r>
        <w:t>Spowoduje to otwarcie okna, w którym zostaną wyszczególnione wszystkie instrumenty, na których możesz handlować. Kliknij na "Stock CFD", a następnie na "Japan (TSE)", jak pokazano poniżej.</w:t>
      </w:r>
    </w:p>
    <w:p w:rsidR="00CD6231" w:rsidRDefault="00CD6231" w:rsidP="00CD6231">
      <w:pPr>
        <w:numPr>
          <w:ilvl w:val="0"/>
          <w:numId w:val="5"/>
        </w:numPr>
        <w:spacing w:before="100" w:beforeAutospacing="1" w:after="100" w:afterAutospacing="1" w:line="240" w:lineRule="auto"/>
        <w:jc w:val="both"/>
      </w:pPr>
      <w:r>
        <w:t>Dwukrotne kliknięcie na dany instrument pozwoli dodać go do listy symboli w Twoim oknie "Rynek". Teraz możesz przeciągnąć i upuścić w oknie wykresu wybrany instrument finansowy.</w:t>
      </w:r>
    </w:p>
    <w:p w:rsidR="00CD6231" w:rsidRDefault="00CD6231" w:rsidP="00CD6231">
      <w:pPr>
        <w:pStyle w:val="NormalnyWeb"/>
        <w:jc w:val="both"/>
      </w:pPr>
      <w:r>
        <w:rPr>
          <w:noProof/>
        </w:rPr>
        <w:lastRenderedPageBreak/>
        <w:drawing>
          <wp:inline distT="0" distB="0" distL="0" distR="0">
            <wp:extent cx="18180050" cy="8597900"/>
            <wp:effectExtent l="0" t="0" r="0" b="0"/>
            <wp:docPr id="22" name="Obraz 22" descr="giełda tokijska - okno symbole MetaTrader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giełda tokijska - okno symbole MetaTrader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8180050" cy="8597900"/>
                    </a:xfrm>
                    <a:prstGeom prst="rect">
                      <a:avLst/>
                    </a:prstGeom>
                    <a:noFill/>
                    <a:ln>
                      <a:noFill/>
                    </a:ln>
                  </pic:spPr>
                </pic:pic>
              </a:graphicData>
            </a:graphic>
          </wp:inline>
        </w:drawing>
      </w:r>
    </w:p>
    <w:p w:rsidR="00CD6231" w:rsidRDefault="00CD6231" w:rsidP="00CD6231">
      <w:pPr>
        <w:pStyle w:val="NormalnyWeb"/>
        <w:jc w:val="both"/>
      </w:pPr>
      <w:r>
        <w:rPr>
          <w:rStyle w:val="Uwydatnienie"/>
        </w:rPr>
        <w:lastRenderedPageBreak/>
        <w:t xml:space="preserve">Źródło: </w:t>
      </w:r>
      <w:proofErr w:type="spellStart"/>
      <w:r>
        <w:rPr>
          <w:rStyle w:val="Uwydatnienie"/>
        </w:rPr>
        <w:t>MetaTrader</w:t>
      </w:r>
      <w:proofErr w:type="spellEnd"/>
      <w:r>
        <w:rPr>
          <w:rStyle w:val="Uwydatnienie"/>
        </w:rPr>
        <w:t xml:space="preserve"> 5 </w:t>
      </w:r>
      <w:proofErr w:type="spellStart"/>
      <w:r>
        <w:rPr>
          <w:rStyle w:val="Uwydatnienie"/>
        </w:rPr>
        <w:t>Admirals</w:t>
      </w:r>
      <w:proofErr w:type="spellEnd"/>
      <w:r>
        <w:rPr>
          <w:rStyle w:val="Uwydatnienie"/>
        </w:rPr>
        <w:t>, okno symbole</w:t>
      </w:r>
    </w:p>
    <w:p w:rsidR="00CD6231" w:rsidRDefault="00CD6231" w:rsidP="00CD6231">
      <w:pPr>
        <w:pStyle w:val="NormalnyWeb"/>
        <w:jc w:val="both"/>
      </w:pPr>
      <w:r>
        <w:rPr>
          <w:rStyle w:val="Uwydatnienie"/>
        </w:rPr>
        <w:t xml:space="preserve">Ostrzeżenie: Wykresy instrumentów finansowych w tym artykule służą wyłącznie celom ilustracyjnym i nie stanowią porady handlowej ani nakłaniania do kupna lub sprzedaży jakiegokolwiek instrumentu finansowego oferowanego przez </w:t>
      </w:r>
      <w:proofErr w:type="spellStart"/>
      <w:r>
        <w:rPr>
          <w:rStyle w:val="Uwydatnienie"/>
        </w:rPr>
        <w:t>Admirals</w:t>
      </w:r>
      <w:proofErr w:type="spellEnd"/>
      <w:r>
        <w:rPr>
          <w:rStyle w:val="Uwydatnienie"/>
        </w:rPr>
        <w:t xml:space="preserve"> (kontrakty CFD, ETF, akcje). Wyniki osiągane w przeszłości nie gwarantują podobnych w przyszłości.</w:t>
      </w:r>
    </w:p>
    <w:p w:rsidR="00CD6231" w:rsidRDefault="00CD6231" w:rsidP="00CD6231">
      <w:pPr>
        <w:pStyle w:val="NormalnyWeb"/>
        <w:jc w:val="both"/>
      </w:pPr>
      <w:r>
        <w:t>Z tego miejsca możesz sprawdzić pełną listę wszystkich japońskich akcji, którymi można handlować oraz w które możesz inwestować. Obejmują one akcje z różnych sektorów, takich jak np.:</w:t>
      </w:r>
    </w:p>
    <w:p w:rsidR="00CD6231" w:rsidRDefault="00CD6231" w:rsidP="00CD6231">
      <w:pPr>
        <w:numPr>
          <w:ilvl w:val="0"/>
          <w:numId w:val="6"/>
        </w:numPr>
        <w:spacing w:before="100" w:beforeAutospacing="1" w:after="100" w:afterAutospacing="1" w:line="240" w:lineRule="auto"/>
        <w:jc w:val="both"/>
      </w:pPr>
      <w:r>
        <w:t>Czołowe japońskie firmy z branży elektroniki użytkowej, takie jak Canon, Casio, Panasonic, Sony, Fujitsu, Toshiba i Nikon.</w:t>
      </w:r>
    </w:p>
    <w:p w:rsidR="00CD6231" w:rsidRDefault="00CD6231" w:rsidP="00CD6231">
      <w:pPr>
        <w:numPr>
          <w:ilvl w:val="0"/>
          <w:numId w:val="6"/>
        </w:numPr>
        <w:spacing w:before="100" w:beforeAutospacing="1" w:after="100" w:afterAutospacing="1" w:line="240" w:lineRule="auto"/>
        <w:jc w:val="both"/>
      </w:pPr>
      <w:r>
        <w:t>Wiodących japońskich producentów samochodów i motocykli, jak Toyota, Nissan, Honda, Mitsubishi i Yamaha Motors.</w:t>
      </w:r>
    </w:p>
    <w:p w:rsidR="00CD6231" w:rsidRDefault="00CD6231" w:rsidP="00CD6231">
      <w:pPr>
        <w:numPr>
          <w:ilvl w:val="0"/>
          <w:numId w:val="6"/>
        </w:numPr>
        <w:spacing w:before="100" w:beforeAutospacing="1" w:after="100" w:afterAutospacing="1" w:line="240" w:lineRule="auto"/>
        <w:jc w:val="both"/>
      </w:pPr>
      <w:r>
        <w:t xml:space="preserve">Inne uznane spółki, takie jak </w:t>
      </w:r>
      <w:proofErr w:type="spellStart"/>
      <w:r>
        <w:t>SoftBank</w:t>
      </w:r>
      <w:proofErr w:type="spellEnd"/>
      <w:r>
        <w:t xml:space="preserve">, Asahi, Bridgestone, </w:t>
      </w:r>
      <w:proofErr w:type="spellStart"/>
      <w:r>
        <w:t>Kikkoman</w:t>
      </w:r>
      <w:proofErr w:type="spellEnd"/>
      <w:r>
        <w:t xml:space="preserve"> i Nintendo.</w:t>
      </w:r>
    </w:p>
    <w:p w:rsidR="00CD6231" w:rsidRDefault="00CD6231" w:rsidP="00CD6231">
      <w:pPr>
        <w:pStyle w:val="NormalnyWeb"/>
        <w:jc w:val="both"/>
      </w:pPr>
      <w:r>
        <w:t xml:space="preserve">Akcje rynku japońskiego dostępne do handlu możesz również przeglądać w Specyfikacji Instrumentów na stronie </w:t>
      </w:r>
      <w:proofErr w:type="spellStart"/>
      <w:r>
        <w:t>Admirals</w:t>
      </w:r>
      <w:proofErr w:type="spellEnd"/>
      <w:r>
        <w:t>, jak pokazano poniżej:</w:t>
      </w:r>
    </w:p>
    <w:p w:rsidR="00CD6231" w:rsidRDefault="00CD6231" w:rsidP="00CD6231">
      <w:pPr>
        <w:pStyle w:val="NormalnyWeb"/>
        <w:jc w:val="both"/>
      </w:pPr>
      <w:r>
        <w:rPr>
          <w:noProof/>
        </w:rPr>
        <w:drawing>
          <wp:inline distT="0" distB="0" distL="0" distR="0">
            <wp:extent cx="5543550" cy="4375150"/>
            <wp:effectExtent l="0" t="0" r="0" b="6350"/>
            <wp:docPr id="21" name="Obraz 21" descr="gielda japonia - specyfikacja instrumentów na stronie Admiral Mark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gielda japonia - specyfikacja instrumentów na stronie Admiral Markets"/>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543550" cy="4375150"/>
                    </a:xfrm>
                    <a:prstGeom prst="rect">
                      <a:avLst/>
                    </a:prstGeom>
                    <a:noFill/>
                    <a:ln>
                      <a:noFill/>
                    </a:ln>
                  </pic:spPr>
                </pic:pic>
              </a:graphicData>
            </a:graphic>
          </wp:inline>
        </w:drawing>
      </w:r>
    </w:p>
    <w:p w:rsidR="00CD6231" w:rsidRDefault="00CD6231" w:rsidP="00CD6231">
      <w:pPr>
        <w:pStyle w:val="NormalnyWeb"/>
        <w:jc w:val="both"/>
      </w:pPr>
      <w:r>
        <w:rPr>
          <w:rStyle w:val="Uwydatnienie"/>
        </w:rPr>
        <w:t xml:space="preserve">Źródło: </w:t>
      </w:r>
      <w:hyperlink r:id="rId29" w:anchor="tile-stocks-table" w:tgtFrame="_blank" w:history="1">
        <w:r>
          <w:rPr>
            <w:rStyle w:val="Hipercze"/>
          </w:rPr>
          <w:t xml:space="preserve">Specyfikacja instrumentów </w:t>
        </w:r>
        <w:proofErr w:type="spellStart"/>
        <w:r>
          <w:rPr>
            <w:rStyle w:val="Hipercze"/>
          </w:rPr>
          <w:t>Admirals</w:t>
        </w:r>
        <w:proofErr w:type="spellEnd"/>
      </w:hyperlink>
    </w:p>
    <w:p w:rsidR="00CD6231" w:rsidRDefault="00CD6231" w:rsidP="00CD6231">
      <w:pPr>
        <w:pStyle w:val="NormalnyWeb"/>
        <w:jc w:val="both"/>
      </w:pPr>
      <w:r>
        <w:lastRenderedPageBreak/>
        <w:t>Zanim przyjrzymy się ruchom cen akcji japońskich i narzędziom używanym przez inwestorów do podejmowania decyzji inwestycyjnych, przypatrzmy się najpierw, jak zacząć inwestować w giełdę tokijską.</w:t>
      </w:r>
    </w:p>
    <w:p w:rsidR="00CD6231" w:rsidRDefault="00CD6231" w:rsidP="00CD6231">
      <w:pPr>
        <w:pStyle w:val="Nagwek3"/>
      </w:pPr>
      <w:r>
        <w:t>Jak inwestować w akcje rynku japońskiego?</w:t>
      </w:r>
    </w:p>
    <w:p w:rsidR="00CD6231" w:rsidRDefault="00CD6231" w:rsidP="00CD6231">
      <w:pPr>
        <w:pStyle w:val="NormalnyWeb"/>
        <w:jc w:val="both"/>
      </w:pPr>
      <w:r>
        <w:t xml:space="preserve">Za pomocą rachunku </w:t>
      </w:r>
      <w:proofErr w:type="spellStart"/>
      <w:r>
        <w:t>Admirals</w:t>
      </w:r>
      <w:proofErr w:type="spellEnd"/>
      <w:r>
        <w:t xml:space="preserve"> Trade.MT5 masz możliwość handlu kontraktami CFD (kontrakt różnicy kursowej) na akcje spółek notowanych na giełdzie w Tokio. Oznacza to, że możesz spekulować na wzrostach i spadkach cen akcji. Ten rodzaj rachunku jest przydatny na niestabilnych rynkach, na których notowania akcji często rosną i spadają.</w:t>
      </w:r>
    </w:p>
    <w:p w:rsidR="00CD6231" w:rsidRDefault="00CD6231" w:rsidP="00CD6231">
      <w:pPr>
        <w:pStyle w:val="NormalnyWeb"/>
        <w:jc w:val="both"/>
      </w:pPr>
      <w:r>
        <w:t>Aby kupić lub sprzedać akcje japońskie (</w:t>
      </w:r>
      <w:proofErr w:type="spellStart"/>
      <w:r>
        <w:t>japan</w:t>
      </w:r>
      <w:proofErr w:type="spellEnd"/>
      <w:r>
        <w:t xml:space="preserve"> </w:t>
      </w:r>
      <w:proofErr w:type="spellStart"/>
      <w:r>
        <w:t>stock</w:t>
      </w:r>
      <w:proofErr w:type="spellEnd"/>
      <w:r>
        <w:t xml:space="preserve"> exchange) na platformie transakcyjnej </w:t>
      </w:r>
      <w:proofErr w:type="spellStart"/>
      <w:r>
        <w:t>MetaTrader</w:t>
      </w:r>
      <w:proofErr w:type="spellEnd"/>
      <w:r>
        <w:t xml:space="preserve"> 5, otwórz platformę i wybierz odpowiedni instrument, na którym chcesz handlować. Następnym krokiem jest otwarcie okna zlecenia, według poniższej instrukcji:</w:t>
      </w:r>
    </w:p>
    <w:p w:rsidR="00CD6231" w:rsidRDefault="00CD6231" w:rsidP="00CD6231">
      <w:pPr>
        <w:numPr>
          <w:ilvl w:val="0"/>
          <w:numId w:val="7"/>
        </w:numPr>
        <w:spacing w:before="100" w:beforeAutospacing="1" w:after="100" w:afterAutospacing="1" w:line="240" w:lineRule="auto"/>
        <w:jc w:val="both"/>
      </w:pPr>
      <w:r>
        <w:t>Kliknij prawym przyciskiem myszy na wykres.</w:t>
      </w:r>
    </w:p>
    <w:p w:rsidR="00CD6231" w:rsidRDefault="00CD6231" w:rsidP="00CD6231">
      <w:pPr>
        <w:numPr>
          <w:ilvl w:val="0"/>
          <w:numId w:val="7"/>
        </w:numPr>
        <w:spacing w:before="100" w:beforeAutospacing="1" w:after="100" w:afterAutospacing="1" w:line="240" w:lineRule="auto"/>
        <w:jc w:val="both"/>
      </w:pPr>
      <w:r>
        <w:t>Wybierz z listy "Handel".</w:t>
      </w:r>
    </w:p>
    <w:p w:rsidR="00CD6231" w:rsidRDefault="00CD6231" w:rsidP="00CD6231">
      <w:pPr>
        <w:numPr>
          <w:ilvl w:val="0"/>
          <w:numId w:val="7"/>
        </w:numPr>
        <w:spacing w:before="100" w:beforeAutospacing="1" w:after="100" w:afterAutospacing="1" w:line="240" w:lineRule="auto"/>
        <w:jc w:val="both"/>
      </w:pPr>
      <w:r>
        <w:t>Wybierz opcję "Nowe zlecenie" lub naciśnij F9 na klawiaturze.</w:t>
      </w:r>
    </w:p>
    <w:p w:rsidR="00CD6231" w:rsidRDefault="00CD6231" w:rsidP="00CD6231">
      <w:pPr>
        <w:numPr>
          <w:ilvl w:val="0"/>
          <w:numId w:val="7"/>
        </w:numPr>
        <w:spacing w:before="100" w:beforeAutospacing="1" w:after="100" w:afterAutospacing="1" w:line="240" w:lineRule="auto"/>
        <w:jc w:val="both"/>
      </w:pPr>
      <w:r>
        <w:t xml:space="preserve">Zostanie otwarte okno zlecenia, w którym możesz wprowadzić cenę otwarcia, poziom zlecenia stop </w:t>
      </w:r>
      <w:proofErr w:type="spellStart"/>
      <w:r>
        <w:t>loss</w:t>
      </w:r>
      <w:proofErr w:type="spellEnd"/>
      <w:r>
        <w:t xml:space="preserve"> i </w:t>
      </w:r>
      <w:proofErr w:type="spellStart"/>
      <w:r>
        <w:t>take</w:t>
      </w:r>
      <w:proofErr w:type="spellEnd"/>
      <w:r>
        <w:t xml:space="preserve"> profit oraz wielkość pozycji (wolumen).</w:t>
      </w:r>
    </w:p>
    <w:p w:rsidR="00CD6231" w:rsidRDefault="00CD6231" w:rsidP="00CD6231">
      <w:pPr>
        <w:pStyle w:val="NormalnyWeb"/>
        <w:jc w:val="both"/>
      </w:pPr>
      <w:r>
        <w:rPr>
          <w:noProof/>
        </w:rPr>
        <w:lastRenderedPageBreak/>
        <w:drawing>
          <wp:inline distT="0" distB="0" distL="0" distR="0">
            <wp:extent cx="15240000" cy="7200900"/>
            <wp:effectExtent l="0" t="0" r="0" b="0"/>
            <wp:docPr id="20" name="Obraz 20" descr="akcje rynku japońskiego okno zlecenie MetaTrader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akcje rynku japońskiego okno zlecenie MetaTrader 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5240000" cy="7200900"/>
                    </a:xfrm>
                    <a:prstGeom prst="rect">
                      <a:avLst/>
                    </a:prstGeom>
                    <a:noFill/>
                    <a:ln>
                      <a:noFill/>
                    </a:ln>
                  </pic:spPr>
                </pic:pic>
              </a:graphicData>
            </a:graphic>
          </wp:inline>
        </w:drawing>
      </w:r>
    </w:p>
    <w:p w:rsidR="00CD6231" w:rsidRDefault="00CD6231" w:rsidP="00CD6231">
      <w:pPr>
        <w:pStyle w:val="NormalnyWeb"/>
        <w:jc w:val="both"/>
      </w:pPr>
      <w:r>
        <w:rPr>
          <w:rStyle w:val="Uwydatnienie"/>
        </w:rPr>
        <w:t xml:space="preserve">Źródło: </w:t>
      </w:r>
      <w:proofErr w:type="spellStart"/>
      <w:r>
        <w:rPr>
          <w:rStyle w:val="Uwydatnienie"/>
        </w:rPr>
        <w:t>MetaTrader</w:t>
      </w:r>
      <w:proofErr w:type="spellEnd"/>
      <w:r>
        <w:rPr>
          <w:rStyle w:val="Uwydatnienie"/>
        </w:rPr>
        <w:t xml:space="preserve"> 5, okno zlecenia</w:t>
      </w:r>
    </w:p>
    <w:p w:rsidR="00CD6231" w:rsidRDefault="00CD6231" w:rsidP="00CD6231">
      <w:pPr>
        <w:pStyle w:val="NormalnyWeb"/>
        <w:jc w:val="both"/>
      </w:pPr>
      <w:r>
        <w:rPr>
          <w:rStyle w:val="Uwydatnienie"/>
        </w:rPr>
        <w:t xml:space="preserve">Ostrzeżenie: Wykresy instrumentów finansowych w tym artykule służą wyłącznie celom ilustracyjnym i nie stanowią porady handlowej ani nakłaniania do kupna lub sprzedaży jakiegokolwiek instrumentu finansowego oferowanego przez </w:t>
      </w:r>
      <w:proofErr w:type="spellStart"/>
      <w:r>
        <w:rPr>
          <w:rStyle w:val="Uwydatnienie"/>
        </w:rPr>
        <w:t>Admirals</w:t>
      </w:r>
      <w:proofErr w:type="spellEnd"/>
      <w:r>
        <w:rPr>
          <w:rStyle w:val="Uwydatnienie"/>
        </w:rPr>
        <w:t xml:space="preserve"> (kontrakty CFD, ETF, akcje). Wyniki osiągane w przeszłości nie gwarantują podobnych w przyszłości.</w:t>
      </w:r>
    </w:p>
    <w:p w:rsidR="00CD6231" w:rsidRDefault="00CD6231" w:rsidP="00CD6231">
      <w:pPr>
        <w:pStyle w:val="NormalnyWeb"/>
        <w:jc w:val="both"/>
      </w:pPr>
      <w:r>
        <w:lastRenderedPageBreak/>
        <w:t xml:space="preserve">Dzięki rachunkowi Invest.MT5 można kupować fizyczne akcje 195 różnych spółek notowanych na </w:t>
      </w:r>
      <w:proofErr w:type="spellStart"/>
      <w:r>
        <w:t>Tokyo</w:t>
      </w:r>
      <w:proofErr w:type="spellEnd"/>
      <w:r>
        <w:t xml:space="preserve"> Stock Exchange. Dotyczy to głównie inwestorów długoterminowych, którzy chcą utrzymywać pozycje przez wiele tygodni, miesięcy, a nawet lat. Jeśli rozważasz inwestowanie w akcje rynku japońskiego lub chciałbyś inwestować w inne akcje i fundusze ETF z całego świata, rachunek Invest.MT5 oferuje:</w:t>
      </w:r>
    </w:p>
    <w:p w:rsidR="00CD6231" w:rsidRDefault="00CD6231" w:rsidP="00CD6231">
      <w:pPr>
        <w:numPr>
          <w:ilvl w:val="0"/>
          <w:numId w:val="8"/>
        </w:numPr>
        <w:spacing w:before="100" w:beforeAutospacing="1" w:after="100" w:afterAutospacing="1" w:line="240" w:lineRule="auto"/>
        <w:jc w:val="both"/>
      </w:pPr>
      <w:r>
        <w:t>Możliwość inwestowania w tysiące akcji i ETF-ów z 15 największych giełd na świecie.</w:t>
      </w:r>
    </w:p>
    <w:p w:rsidR="00CD6231" w:rsidRDefault="00CD6231" w:rsidP="00CD6231">
      <w:pPr>
        <w:numPr>
          <w:ilvl w:val="0"/>
          <w:numId w:val="8"/>
        </w:numPr>
        <w:spacing w:before="100" w:beforeAutospacing="1" w:after="100" w:afterAutospacing="1" w:line="240" w:lineRule="auto"/>
        <w:jc w:val="both"/>
      </w:pPr>
      <w:r>
        <w:t>Otwarcie rachunku z minimalnym depozytem w wysokości zaledwie 1 euro i inwestowanie już od 0,01 USD za akcję z minimalną opłatą transakcyjną wynoszącą zaledwie 1 USD na amerykańskich akcjach.</w:t>
      </w:r>
    </w:p>
    <w:p w:rsidR="00CD6231" w:rsidRDefault="00CD6231" w:rsidP="00CD6231">
      <w:pPr>
        <w:numPr>
          <w:ilvl w:val="0"/>
          <w:numId w:val="8"/>
        </w:numPr>
        <w:spacing w:before="100" w:beforeAutospacing="1" w:after="100" w:afterAutospacing="1" w:line="240" w:lineRule="auto"/>
        <w:jc w:val="both"/>
      </w:pPr>
      <w:r>
        <w:t>Otrzymywanie bezpłatnych danych rynkowych w czasie rzeczywistym, bez opóźnień, bez dodatkowych kosztów.</w:t>
      </w:r>
    </w:p>
    <w:p w:rsidR="00CD6231" w:rsidRDefault="00CD6231" w:rsidP="00CD6231">
      <w:pPr>
        <w:numPr>
          <w:ilvl w:val="0"/>
          <w:numId w:val="8"/>
        </w:numPr>
        <w:spacing w:before="100" w:beforeAutospacing="1" w:after="100" w:afterAutospacing="1" w:line="240" w:lineRule="auto"/>
        <w:jc w:val="both"/>
      </w:pPr>
      <w:r>
        <w:t>Stworzenie strumienia pasywnych dochodów z portfolio akcji dywidendowych.</w:t>
      </w:r>
    </w:p>
    <w:p w:rsidR="00CD6231" w:rsidRDefault="00CD6231" w:rsidP="00CD6231">
      <w:pPr>
        <w:numPr>
          <w:ilvl w:val="0"/>
          <w:numId w:val="8"/>
        </w:numPr>
        <w:spacing w:before="100" w:beforeAutospacing="1" w:after="100" w:afterAutospacing="1" w:line="240" w:lineRule="auto"/>
        <w:jc w:val="both"/>
      </w:pPr>
      <w:r>
        <w:t xml:space="preserve">Korzystanie z najpopularniejszej na świecie platformy transakcyjnej </w:t>
      </w:r>
      <w:proofErr w:type="spellStart"/>
      <w:r>
        <w:t>MetaTrader</w:t>
      </w:r>
      <w:proofErr w:type="spellEnd"/>
      <w:r>
        <w:t xml:space="preserve"> 5 klasy wielu aktywów.</w:t>
      </w:r>
    </w:p>
    <w:p w:rsidR="00CD6231" w:rsidRDefault="00CD6231" w:rsidP="00CD6231">
      <w:pPr>
        <w:pStyle w:val="NormalnyWeb"/>
        <w:jc w:val="both"/>
      </w:pPr>
      <w:r>
        <w:t>Możesz zacząć już teraz, klikając w poniższy baner i korzystając z wszystkich powyższych funkcji i nie tylko!</w:t>
      </w:r>
    </w:p>
    <w:p w:rsidR="00CD6231" w:rsidRDefault="00CD6231" w:rsidP="00CD6231">
      <w:r>
        <w:t>Inwestuj w najbardziej popularne instrumenty finansowe</w:t>
      </w:r>
    </w:p>
    <w:p w:rsidR="00CD6231" w:rsidRDefault="00CD6231" w:rsidP="00CD6231">
      <w:pPr>
        <w:pStyle w:val="NormalnyWeb"/>
      </w:pPr>
      <w:r>
        <w:t>Tysiące akcji i ETF-ów w zasięgu ręki</w:t>
      </w:r>
    </w:p>
    <w:p w:rsidR="00CD6231" w:rsidRDefault="00CD6231" w:rsidP="00CD6231">
      <w:hyperlink r:id="rId31" w:tgtFrame="_blank" w:history="1">
        <w:r>
          <w:rPr>
            <w:rStyle w:val="Hipercze"/>
          </w:rPr>
          <w:t>ZACZNIJ INWESTOWAĆ</w:t>
        </w:r>
      </w:hyperlink>
    </w:p>
    <w:p w:rsidR="00CD6231" w:rsidRDefault="00CD6231" w:rsidP="00CD6231">
      <w:r>
        <w:rPr>
          <w:noProof/>
          <w:color w:val="0000FF"/>
          <w:lang w:eastAsia="pl-PL"/>
        </w:rPr>
        <w:drawing>
          <wp:inline distT="0" distB="0" distL="0" distR="0">
            <wp:extent cx="1809750" cy="1809750"/>
            <wp:effectExtent l="0" t="0" r="0" b="0"/>
            <wp:docPr id="19" name="Obraz 19" descr="Inwestuj w najbardziej popularne instrumenty finansowe">
              <a:hlinkClick xmlns:a="http://schemas.openxmlformats.org/drawingml/2006/main" r:id="rId3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nwestuj w najbardziej popularne instrumenty finansowe">
                      <a:hlinkClick r:id="rId31" tgtFrame="&quot;_blank&quo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809750" cy="1809750"/>
                    </a:xfrm>
                    <a:prstGeom prst="rect">
                      <a:avLst/>
                    </a:prstGeom>
                    <a:noFill/>
                    <a:ln>
                      <a:noFill/>
                    </a:ln>
                  </pic:spPr>
                </pic:pic>
              </a:graphicData>
            </a:graphic>
          </wp:inline>
        </w:drawing>
      </w:r>
    </w:p>
    <w:p w:rsidR="00CD6231" w:rsidRDefault="00CD6231" w:rsidP="00CD6231">
      <w:pPr>
        <w:pStyle w:val="Nagwek4"/>
        <w:jc w:val="both"/>
      </w:pPr>
      <w:r>
        <w:t>Co wpływa na notowania japońskiej giełdy - Japan Stock Exchange?</w:t>
      </w:r>
    </w:p>
    <w:p w:rsidR="00CD6231" w:rsidRDefault="00CD6231" w:rsidP="00CD6231">
      <w:pPr>
        <w:pStyle w:val="NormalnyWeb"/>
        <w:jc w:val="both"/>
      </w:pPr>
      <w:r>
        <w:t xml:space="preserve">Istnieje wiele czynników, które mają wpływ na japońską giełdę. Jednak największe znaczenie dotyczy działań </w:t>
      </w:r>
      <w:hyperlink r:id="rId33" w:tgtFrame="_blank" w:history="1">
        <w:r>
          <w:rPr>
            <w:rStyle w:val="Hipercze"/>
          </w:rPr>
          <w:t>Banku Japonii</w:t>
        </w:r>
      </w:hyperlink>
      <w:r>
        <w:t>, które zostały opisane poniżej.</w:t>
      </w:r>
    </w:p>
    <w:p w:rsidR="00CD6231" w:rsidRDefault="00CD6231" w:rsidP="00CD6231">
      <w:pPr>
        <w:pStyle w:val="Nagwek4"/>
        <w:jc w:val="both"/>
      </w:pPr>
      <w:r>
        <w:t>Bank Japonii i giełda w Tokio</w:t>
      </w:r>
    </w:p>
    <w:p w:rsidR="00CD6231" w:rsidRDefault="00CD6231" w:rsidP="00CD6231">
      <w:pPr>
        <w:pStyle w:val="NormalnyWeb"/>
        <w:jc w:val="both"/>
      </w:pPr>
      <w:r>
        <w:t>Na początku 1990 roku giełda tokijska załamała się, powodując spadek cen nieruchomości o 87%. Do 1995 roku Bank Japonii obniżył stopy procentowe z 6% do 0,5%. Wielu uważało, że gospodarka odrodziła się z dwudziestoletniego kryzysu, często nazwanego "straconą dekadą". Mimo to kryzys finansowy z 2008 r. doprowadził do załamania gospodarki, a jeszcze bardziej pogłębił go wybuch pandemii Covid-19 w 2020 roku.</w:t>
      </w:r>
    </w:p>
    <w:p w:rsidR="00CD6231" w:rsidRDefault="00CD6231" w:rsidP="00CD6231">
      <w:pPr>
        <w:pStyle w:val="NormalnyWeb"/>
        <w:jc w:val="both"/>
      </w:pPr>
      <w:r>
        <w:lastRenderedPageBreak/>
        <w:t xml:space="preserve">W 2012 roku premier Japonii </w:t>
      </w:r>
      <w:proofErr w:type="spellStart"/>
      <w:r>
        <w:t>Shinzo</w:t>
      </w:r>
      <w:proofErr w:type="spellEnd"/>
      <w:r>
        <w:t xml:space="preserve"> </w:t>
      </w:r>
      <w:proofErr w:type="spellStart"/>
      <w:r>
        <w:t>Abe</w:t>
      </w:r>
      <w:proofErr w:type="spellEnd"/>
      <w:r>
        <w:t xml:space="preserve"> zainicjował program reform o nazwie </w:t>
      </w:r>
      <w:proofErr w:type="spellStart"/>
      <w:r>
        <w:t>Abenomika</w:t>
      </w:r>
      <w:proofErr w:type="spellEnd"/>
      <w:r>
        <w:t>. Jednym z jego filarów było rozpoczęcie luzowania ilościowego polityki pieniężnej w celu obniżenia wartości jena japońskiego, a tym samym kosztów eksportu (które stanowią ogromną część dochodów Japonii), co miało pomóc przedsiębiorstwom rozwijać się wraz z gospodarką. Niestety, plan ten nie zdołał ożywić gospodarki.</w:t>
      </w:r>
    </w:p>
    <w:p w:rsidR="00CD6231" w:rsidRDefault="00CD6231" w:rsidP="00CD6231">
      <w:pPr>
        <w:pStyle w:val="NormalnyWeb"/>
        <w:jc w:val="both"/>
      </w:pPr>
      <w:r>
        <w:t>W chwili obecnej Bank Japonii podjął inne metody działań - próbuje podnieść ceny akcji w nadziei na zwiększenie wydatków konsumpcyjnych w gospodarce. Bank kupuje aktywa takie jak fundusze giełdowe (ETF), które utrzymują spółki notowane na giełdzie, próbując podnieść ceny akcji. Są one obecnie jednym z największych posiadaczy akcji notowanych na giełdzie tokijskiej i znajdują się w pierwszej piątce właścicieli 81 różnych spółek.</w:t>
      </w:r>
    </w:p>
    <w:p w:rsidR="00CD6231" w:rsidRDefault="00CD6231" w:rsidP="00CD6231">
      <w:pPr>
        <w:pStyle w:val="NormalnyWeb"/>
        <w:jc w:val="both"/>
      </w:pPr>
      <w:r>
        <w:t>Poniżej znajduje się wykres japońskiego indeksu giełdowego Nikkei 225, który jest indeksem ważonym cenowo 225 największych spółek notowanych w pierwszej sekcji giełdy tokijskiej:</w:t>
      </w:r>
    </w:p>
    <w:p w:rsidR="00CD6231" w:rsidRDefault="00CD6231" w:rsidP="00CD6231">
      <w:pPr>
        <w:pStyle w:val="NormalnyWeb"/>
        <w:jc w:val="both"/>
      </w:pPr>
      <w:r>
        <w:rPr>
          <w:noProof/>
        </w:rPr>
        <w:lastRenderedPageBreak/>
        <w:drawing>
          <wp:inline distT="0" distB="0" distL="0" distR="0">
            <wp:extent cx="15240000" cy="7143750"/>
            <wp:effectExtent l="0" t="0" r="0" b="0"/>
            <wp:docPr id="18" name="Obraz 18" descr="akcje japońskie - wykres Nikkei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akcje japońskie - wykres Nikkei 22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5240000" cy="7143750"/>
                    </a:xfrm>
                    <a:prstGeom prst="rect">
                      <a:avLst/>
                    </a:prstGeom>
                    <a:noFill/>
                    <a:ln>
                      <a:noFill/>
                    </a:ln>
                  </pic:spPr>
                </pic:pic>
              </a:graphicData>
            </a:graphic>
          </wp:inline>
        </w:drawing>
      </w:r>
    </w:p>
    <w:p w:rsidR="00CD6231" w:rsidRDefault="00CD6231" w:rsidP="00CD6231">
      <w:pPr>
        <w:pStyle w:val="NormalnyWeb"/>
        <w:jc w:val="both"/>
      </w:pPr>
      <w:r>
        <w:rPr>
          <w:rStyle w:val="Uwydatnienie"/>
        </w:rPr>
        <w:t xml:space="preserve">Źródło: </w:t>
      </w:r>
      <w:hyperlink r:id="rId35" w:tgtFrame="_blank" w:tooltip="mt5" w:history="1">
        <w:proofErr w:type="spellStart"/>
        <w:r>
          <w:rPr>
            <w:rStyle w:val="Hipercze"/>
            <w:i/>
            <w:iCs/>
          </w:rPr>
          <w:t>Admirals</w:t>
        </w:r>
        <w:proofErr w:type="spellEnd"/>
        <w:r>
          <w:rPr>
            <w:rStyle w:val="Hipercze"/>
            <w:i/>
            <w:iCs/>
          </w:rPr>
          <w:t xml:space="preserve"> </w:t>
        </w:r>
        <w:proofErr w:type="spellStart"/>
        <w:r>
          <w:rPr>
            <w:rStyle w:val="Hipercze"/>
            <w:i/>
            <w:iCs/>
          </w:rPr>
          <w:t>MetaTrader</w:t>
        </w:r>
        <w:proofErr w:type="spellEnd"/>
        <w:r>
          <w:rPr>
            <w:rStyle w:val="Hipercze"/>
            <w:i/>
            <w:iCs/>
          </w:rPr>
          <w:t xml:space="preserve"> 5</w:t>
        </w:r>
      </w:hyperlink>
      <w:r>
        <w:rPr>
          <w:rStyle w:val="Uwydatnienie"/>
        </w:rPr>
        <w:t>. Wykres miesięczny JP225. Zakres danych: od 1 maja 2005 r. do 1 lipca 2020 r. Wykres sporządzono 24 lipca 2020 r. o godzinie 19:18 BST. Uwaga: Wyniki osiągnięte w przeszłości nie gwarantują podobnych w przyszłości.</w:t>
      </w:r>
    </w:p>
    <w:p w:rsidR="00CD6231" w:rsidRDefault="00CD6231" w:rsidP="00CD6231">
      <w:pPr>
        <w:pStyle w:val="NormalnyWeb"/>
        <w:jc w:val="both"/>
      </w:pPr>
      <w:r>
        <w:t xml:space="preserve">Z powyższego długoterminowego, miesięcznego wykresu cenowego widać wyraźnie ogólny spadek cen akcji podczas kryzysu finansowego z 2008 r., stagnację do 2013 r., a następnie wzrost do 2019 r. włącznie. Generalnie opieranie się na trendzie indeksu może być pomocne </w:t>
      </w:r>
      <w:r>
        <w:lastRenderedPageBreak/>
        <w:t>podczas wykonywania pierwszej transakcji kupna lub sprzedaży poszczególnych akcji i zapewne dobrze wpisze się w ogólną strategię oraz metodologię handlową inwestora.</w:t>
      </w:r>
    </w:p>
    <w:p w:rsidR="00CD6231" w:rsidRDefault="00CD6231" w:rsidP="00CD6231">
      <w:pPr>
        <w:pStyle w:val="Nagwek3"/>
      </w:pPr>
      <w:r>
        <w:t>Akcje rynku japońskiego - strategia handlowa</w:t>
      </w:r>
    </w:p>
    <w:p w:rsidR="00CD6231" w:rsidRDefault="00CD6231" w:rsidP="00CD6231">
      <w:pPr>
        <w:pStyle w:val="NormalnyWeb"/>
        <w:jc w:val="both"/>
      </w:pPr>
      <w:r>
        <w:t xml:space="preserve">Strategie handlowe są bardzo przydatne podczas handlu na rynkach finansowych. Pomagają one bowiem </w:t>
      </w:r>
      <w:proofErr w:type="spellStart"/>
      <w:r>
        <w:t>traderowi</w:t>
      </w:r>
      <w:proofErr w:type="spellEnd"/>
      <w:r>
        <w:t xml:space="preserve"> w podejmowaniu bardziej usystematyzowanych decyzji transakcyjnych przy użyciu spójnej metodologii. W istocie, przyczynia się to do usprawnienia procesu ich podejmowania, dzięki czemu można uniknąć emocjonalnych i pochopnych ocen podczas </w:t>
      </w:r>
      <w:proofErr w:type="spellStart"/>
      <w:r>
        <w:t>tradingu</w:t>
      </w:r>
      <w:proofErr w:type="spellEnd"/>
      <w:r>
        <w:t>. Do najpopularniejszych rodzajów analiz stosowanych w strategii są:</w:t>
      </w:r>
    </w:p>
    <w:p w:rsidR="00CD6231" w:rsidRDefault="00CD6231" w:rsidP="00CD6231">
      <w:pPr>
        <w:numPr>
          <w:ilvl w:val="0"/>
          <w:numId w:val="9"/>
        </w:numPr>
        <w:spacing w:before="100" w:beforeAutospacing="1" w:after="100" w:afterAutospacing="1" w:line="240" w:lineRule="auto"/>
        <w:jc w:val="both"/>
      </w:pPr>
      <w:hyperlink r:id="rId36" w:tgtFrame="_blank" w:tooltip="analiza fundamentalna spółek" w:history="1">
        <w:r>
          <w:rPr>
            <w:rStyle w:val="Hipercze"/>
          </w:rPr>
          <w:t>Analiza fundamentalna</w:t>
        </w:r>
      </w:hyperlink>
      <w:r>
        <w:t xml:space="preserve">. Polega ona na analizie szerszego obrazu ekonomicznego, jak również danych dotyczących poszczególnych spółek. Biorąc pod uwagę, że japońska giełda jest wspierana przez Bank Japonii, </w:t>
      </w:r>
      <w:proofErr w:type="spellStart"/>
      <w:r>
        <w:t>traderzy</w:t>
      </w:r>
      <w:proofErr w:type="spellEnd"/>
      <w:r>
        <w:t xml:space="preserve"> często śledzą wszelkie istotne zmiany w polityce tego banku. Ponieważ większość dochodów Japonii jest w dużym stopniu uzależniona od eksportu produkcji, analiza ta może również skupiać uwagę na ogłoszeniach danych produkcyjnych, jak również dotyczących jena japońskiego.</w:t>
      </w:r>
    </w:p>
    <w:p w:rsidR="00CD6231" w:rsidRDefault="00CD6231" w:rsidP="00CD6231">
      <w:pPr>
        <w:numPr>
          <w:ilvl w:val="0"/>
          <w:numId w:val="9"/>
        </w:numPr>
        <w:spacing w:before="100" w:beforeAutospacing="1" w:after="100" w:afterAutospacing="1" w:line="240" w:lineRule="auto"/>
        <w:jc w:val="both"/>
      </w:pPr>
      <w:hyperlink r:id="rId37" w:tgtFrame="_blank" w:tooltip="AT spółek" w:history="1">
        <w:r>
          <w:rPr>
            <w:rStyle w:val="Hipercze"/>
          </w:rPr>
          <w:t>Analiza techniczna</w:t>
        </w:r>
      </w:hyperlink>
      <w:r>
        <w:t xml:space="preserve">. Polega ona na analizie kształtowania się cen akcji </w:t>
      </w:r>
      <w:proofErr w:type="spellStart"/>
      <w:r>
        <w:t>spółki.Traderzy</w:t>
      </w:r>
      <w:proofErr w:type="spellEnd"/>
      <w:r>
        <w:t xml:space="preserve"> często korzystają z narzędzi do rysowania na wykresie, aby pomóc w identyfikacji powtarzalnych schematów (formacji i układów), jak również wykorzystują wskaźniki techniczne do zidentyfikowania możliwych punktów zwrotnych na giełdzie. Połączenie analizy fundamentalnej i technicznej daje jeszcze lepszy wgląd ruchu na rynku zatem może przynieść wiele korzyści.</w:t>
      </w:r>
    </w:p>
    <w:p w:rsidR="00CD6231" w:rsidRDefault="00CD6231" w:rsidP="00CD6231">
      <w:pPr>
        <w:pStyle w:val="NormalnyWeb"/>
        <w:jc w:val="both"/>
      </w:pPr>
      <w:proofErr w:type="spellStart"/>
      <w:r>
        <w:t>Admirals</w:t>
      </w:r>
      <w:proofErr w:type="spellEnd"/>
      <w:r>
        <w:t xml:space="preserve"> zapewnia przydatne narzędzia do </w:t>
      </w:r>
      <w:proofErr w:type="spellStart"/>
      <w:r>
        <w:t>tradingu</w:t>
      </w:r>
      <w:proofErr w:type="spellEnd"/>
      <w:r>
        <w:t xml:space="preserve">, które pomogą połączyć własną analizę fundamentalną z automatyczną analizą techniczną. Wskaźnik Trading Central Technical </w:t>
      </w:r>
      <w:proofErr w:type="spellStart"/>
      <w:r>
        <w:t>Insight</w:t>
      </w:r>
      <w:proofErr w:type="spellEnd"/>
      <w:r>
        <w:t>™ umożliwia dokonywanie analiz technicznych dla szerokiego wachlarza klas aktywów, w tym wybrane akcje japońskie notowane na wielu rynkach jednocześnie (tzw. dual-listing)!</w:t>
      </w:r>
    </w:p>
    <w:p w:rsidR="00CD6231" w:rsidRDefault="00CD6231" w:rsidP="00CD6231">
      <w:pPr>
        <w:pStyle w:val="NormalnyWeb"/>
        <w:jc w:val="both"/>
      </w:pPr>
      <w:r>
        <w:t xml:space="preserve">Jeżeli nie pobrałeś jeszcze wskaźnika Trading Central, możesz to zrobić, aktualizując swoją platformę transakcyjną </w:t>
      </w:r>
      <w:proofErr w:type="spellStart"/>
      <w:r>
        <w:t>MetaTrader</w:t>
      </w:r>
      <w:proofErr w:type="spellEnd"/>
      <w:r>
        <w:t xml:space="preserve"> 5 udostępnioną przez </w:t>
      </w:r>
      <w:proofErr w:type="spellStart"/>
      <w:r>
        <w:t>Admirals</w:t>
      </w:r>
      <w:proofErr w:type="spellEnd"/>
      <w:r>
        <w:t xml:space="preserve"> do wersji </w:t>
      </w:r>
      <w:proofErr w:type="spellStart"/>
      <w:r>
        <w:t>Supreme</w:t>
      </w:r>
      <w:proofErr w:type="spellEnd"/>
      <w:r>
        <w:t xml:space="preserve"> Edition całkowicie za darmo! Kliknij na poniższy baner, aby pobrać go teraz:</w:t>
      </w:r>
    </w:p>
    <w:p w:rsidR="00CD6231" w:rsidRDefault="00CD6231" w:rsidP="00CD6231">
      <w:r>
        <w:t xml:space="preserve">Odkryj ekskluzywną wersję </w:t>
      </w:r>
      <w:proofErr w:type="spellStart"/>
      <w:r>
        <w:t>MetaTrader</w:t>
      </w:r>
      <w:proofErr w:type="spellEnd"/>
      <w:r>
        <w:t xml:space="preserve"> </w:t>
      </w:r>
      <w:proofErr w:type="spellStart"/>
      <w:r>
        <w:t>Supreme</w:t>
      </w:r>
      <w:proofErr w:type="spellEnd"/>
      <w:r>
        <w:t xml:space="preserve"> Edition</w:t>
      </w:r>
    </w:p>
    <w:p w:rsidR="00CD6231" w:rsidRDefault="00CD6231" w:rsidP="00CD6231">
      <w:pPr>
        <w:pStyle w:val="NormalnyWeb"/>
      </w:pPr>
      <w:r>
        <w:t>Pobierz najpotężniejszy pakiet wtyczek do swojej ulubionej platformy transakcyjnej!</w:t>
      </w:r>
    </w:p>
    <w:p w:rsidR="00CD6231" w:rsidRDefault="00CD6231" w:rsidP="00CD6231">
      <w:hyperlink r:id="rId38" w:tgtFrame="_blank" w:history="1">
        <w:r>
          <w:rPr>
            <w:rStyle w:val="Hipercze"/>
          </w:rPr>
          <w:t>POBIERZ TERAZ</w:t>
        </w:r>
      </w:hyperlink>
    </w:p>
    <w:p w:rsidR="00CD6231" w:rsidRDefault="00CD6231" w:rsidP="00CD6231">
      <w:r>
        <w:rPr>
          <w:noProof/>
          <w:color w:val="0000FF"/>
          <w:lang w:eastAsia="pl-PL"/>
        </w:rPr>
        <w:drawing>
          <wp:inline distT="0" distB="0" distL="0" distR="0">
            <wp:extent cx="1809750" cy="1809750"/>
            <wp:effectExtent l="0" t="0" r="0" b="0"/>
            <wp:docPr id="17" name="Obraz 17" descr="Odkryj ekskluzywną wersję MetaTrader Supreme Edition">
              <a:hlinkClick xmlns:a="http://schemas.openxmlformats.org/drawingml/2006/main" r:id="rId3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Odkryj ekskluzywną wersję MetaTrader Supreme Edition">
                      <a:hlinkClick r:id="rId38" tgtFrame="&quot;_blank&quot;"/>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809750" cy="1809750"/>
                    </a:xfrm>
                    <a:prstGeom prst="rect">
                      <a:avLst/>
                    </a:prstGeom>
                    <a:noFill/>
                    <a:ln>
                      <a:noFill/>
                    </a:ln>
                  </pic:spPr>
                </pic:pic>
              </a:graphicData>
            </a:graphic>
          </wp:inline>
        </w:drawing>
      </w:r>
    </w:p>
    <w:p w:rsidR="00CD6231" w:rsidRDefault="00CD6231" w:rsidP="00CD6231">
      <w:pPr>
        <w:pStyle w:val="NormalnyWeb"/>
        <w:jc w:val="both"/>
      </w:pPr>
      <w:r>
        <w:lastRenderedPageBreak/>
        <w:t>Ponieważ wskaźniki wspierają analizę techniczną akcji i innych klas aktywów zatem warto na samym początku zdecydować, w jakim sektorze lub branży chcesz inwestować. Dla przykładu, według Twojej oceny producenci samochodów będą borykać się z trudną sytuacją ekonomiczną. W związku z tym będziesz koncentrować się na rynku niedźwiedzia akcji japońskich producentów samochodów, takich jak Toyota czy Honda. Alternatywnie, tak, jak wielu inwestorów po prostu zdecydujesz się skupić na analizie technicznej.</w:t>
      </w:r>
    </w:p>
    <w:p w:rsidR="00CD6231" w:rsidRDefault="00CD6231" w:rsidP="00CD6231">
      <w:pPr>
        <w:pStyle w:val="NormalnyWeb"/>
        <w:jc w:val="both"/>
      </w:pPr>
      <w:r>
        <w:t xml:space="preserve">W każdym z tych podejść niezbędne jest odpowiednie zarządzanie ryzykiem. Rynki idą w górę i w dół, a Ty możesz zyskać lub stracić. Ważne jest, abyś był w pełni świadomy i rozumiał ryzyko, jakie wiąże się z daną transakcją. Możesz skorzystać z </w:t>
      </w:r>
      <w:hyperlink r:id="rId40" w:tgtFrame="_blank" w:tooltip="kalkulator forex" w:history="1">
        <w:r>
          <w:rPr>
            <w:rStyle w:val="Hipercze"/>
          </w:rPr>
          <w:t>Kalkulatora Inwestora</w:t>
        </w:r>
      </w:hyperlink>
      <w:r>
        <w:t xml:space="preserve"> </w:t>
      </w:r>
      <w:proofErr w:type="spellStart"/>
      <w:r>
        <w:t>Admirals</w:t>
      </w:r>
      <w:proofErr w:type="spellEnd"/>
      <w:r>
        <w:t>, który pomoże Ci w monitorowaniu ryzyka dla transakcji i określeniu wymaganego depozytu zabezpieczającego dla różnych instrumentów finansowych (jeśli handlujesz kontraktami CFD).</w:t>
      </w:r>
    </w:p>
    <w:p w:rsidR="00CD6231" w:rsidRDefault="00CD6231" w:rsidP="00CD6231">
      <w:pPr>
        <w:pStyle w:val="NormalnyWeb"/>
        <w:jc w:val="both"/>
      </w:pPr>
      <w:r>
        <w:t xml:space="preserve">Aby rozpocząć korzystanie ze wskaźnika Trading Central Technical </w:t>
      </w:r>
      <w:proofErr w:type="spellStart"/>
      <w:r>
        <w:t>Insight</w:t>
      </w:r>
      <w:proofErr w:type="spellEnd"/>
      <w:r>
        <w:t xml:space="preserve">™, otwórz swoją platformę transakcyjną </w:t>
      </w:r>
      <w:proofErr w:type="spellStart"/>
      <w:r>
        <w:t>MetaTrader</w:t>
      </w:r>
      <w:proofErr w:type="spellEnd"/>
      <w:r>
        <w:t xml:space="preserve"> </w:t>
      </w:r>
      <w:proofErr w:type="spellStart"/>
      <w:r>
        <w:t>Supreme</w:t>
      </w:r>
      <w:proofErr w:type="spellEnd"/>
      <w:r>
        <w:t xml:space="preserve"> Edition. Możesz dowiedzieć się więcej o tym wskaźniku w artykule </w:t>
      </w:r>
      <w:hyperlink r:id="rId41" w:tgtFrame="_blank" w:tooltip="wtyczka metatrader" w:history="1">
        <w:r>
          <w:rPr>
            <w:rStyle w:val="Hipercze"/>
          </w:rPr>
          <w:t xml:space="preserve">Wskaźniki MT </w:t>
        </w:r>
        <w:proofErr w:type="spellStart"/>
        <w:r>
          <w:rPr>
            <w:rStyle w:val="Hipercze"/>
          </w:rPr>
          <w:t>Supreme</w:t>
        </w:r>
        <w:proofErr w:type="spellEnd"/>
        <w:r>
          <w:rPr>
            <w:rStyle w:val="Hipercze"/>
          </w:rPr>
          <w:t xml:space="preserve"> Edition Trading Central</w:t>
        </w:r>
      </w:hyperlink>
      <w:r>
        <w:t>.</w:t>
      </w:r>
    </w:p>
    <w:p w:rsidR="00CD6231" w:rsidRDefault="00CD6231" w:rsidP="00CD6231">
      <w:pPr>
        <w:pStyle w:val="NormalnyWeb"/>
        <w:jc w:val="both"/>
      </w:pPr>
      <w:r>
        <w:t xml:space="preserve">Na razie poszukajmy akcji rynku japońskiego, takie jak Sony </w:t>
      </w:r>
      <w:proofErr w:type="spellStart"/>
      <w:r>
        <w:t>Corp</w:t>
      </w:r>
      <w:proofErr w:type="spellEnd"/>
      <w:r>
        <w:t>:</w:t>
      </w:r>
    </w:p>
    <w:p w:rsidR="00CD6231" w:rsidRDefault="00CD6231" w:rsidP="00CD6231">
      <w:pPr>
        <w:pStyle w:val="NormalnyWeb"/>
        <w:jc w:val="both"/>
      </w:pPr>
      <w:r>
        <w:rPr>
          <w:noProof/>
        </w:rPr>
        <w:drawing>
          <wp:inline distT="0" distB="0" distL="0" distR="0">
            <wp:extent cx="6858000" cy="3727450"/>
            <wp:effectExtent l="0" t="0" r="0" b="6350"/>
            <wp:docPr id="16" name="Obraz 16" descr="akcje japońskie - wskaźnik Trading Central Technical Ins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akcje japońskie - wskaźnik Trading Central Technical Insight"/>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858000" cy="3727450"/>
                    </a:xfrm>
                    <a:prstGeom prst="rect">
                      <a:avLst/>
                    </a:prstGeom>
                    <a:noFill/>
                    <a:ln>
                      <a:noFill/>
                    </a:ln>
                  </pic:spPr>
                </pic:pic>
              </a:graphicData>
            </a:graphic>
          </wp:inline>
        </w:drawing>
      </w:r>
    </w:p>
    <w:p w:rsidR="00CD6231" w:rsidRDefault="00CD6231" w:rsidP="00CD6231">
      <w:pPr>
        <w:pStyle w:val="NormalnyWeb"/>
        <w:jc w:val="both"/>
      </w:pPr>
      <w:r>
        <w:rPr>
          <w:rStyle w:val="Uwydatnienie"/>
        </w:rPr>
        <w:t xml:space="preserve">Zrzut ekranu z platformy transakcyjnej </w:t>
      </w:r>
      <w:proofErr w:type="spellStart"/>
      <w:r>
        <w:rPr>
          <w:rStyle w:val="Uwydatnienie"/>
        </w:rPr>
        <w:t>MetaTrader</w:t>
      </w:r>
      <w:proofErr w:type="spellEnd"/>
      <w:r>
        <w:rPr>
          <w:rStyle w:val="Uwydatnienie"/>
        </w:rPr>
        <w:t xml:space="preserve"> 5 </w:t>
      </w:r>
      <w:proofErr w:type="spellStart"/>
      <w:r>
        <w:rPr>
          <w:rStyle w:val="Uwydatnienie"/>
        </w:rPr>
        <w:t>Supreme</w:t>
      </w:r>
      <w:proofErr w:type="spellEnd"/>
      <w:r>
        <w:rPr>
          <w:rStyle w:val="Uwydatnienie"/>
        </w:rPr>
        <w:t xml:space="preserve"> Edition dostarczonej przez </w:t>
      </w:r>
      <w:proofErr w:type="spellStart"/>
      <w:r>
        <w:rPr>
          <w:rStyle w:val="Uwydatnienie"/>
        </w:rPr>
        <w:t>Admirals</w:t>
      </w:r>
      <w:proofErr w:type="spellEnd"/>
      <w:r>
        <w:rPr>
          <w:rStyle w:val="Uwydatnienie"/>
        </w:rPr>
        <w:t xml:space="preserve">, przedstawiający wskaźnik Trading Central Technical </w:t>
      </w:r>
      <w:proofErr w:type="spellStart"/>
      <w:r>
        <w:rPr>
          <w:rStyle w:val="Uwydatnienie"/>
        </w:rPr>
        <w:t>Insight</w:t>
      </w:r>
      <w:proofErr w:type="spellEnd"/>
      <w:r>
        <w:rPr>
          <w:rStyle w:val="Uwydatnienie"/>
        </w:rPr>
        <w:t>™ dla Sony Corp.</w:t>
      </w:r>
    </w:p>
    <w:p w:rsidR="00CD6231" w:rsidRDefault="00CD6231" w:rsidP="00CD6231">
      <w:pPr>
        <w:pStyle w:val="NormalnyWeb"/>
        <w:jc w:val="both"/>
      </w:pPr>
      <w:r>
        <w:t>Może się okazać, że niektóre akcje rynku japońskiego są notowane na innych światowych giełdach. Akcje notowane na dwóch rynkach są dość powszechne dla niektórych najbardziej znanych spółek w Japonii.</w:t>
      </w:r>
    </w:p>
    <w:p w:rsidR="00CD6231" w:rsidRDefault="00CD6231" w:rsidP="00CD6231">
      <w:pPr>
        <w:pStyle w:val="NormalnyWeb"/>
        <w:jc w:val="both"/>
      </w:pPr>
      <w:r>
        <w:lastRenderedPageBreak/>
        <w:t xml:space="preserve">Jak widzimy powyżej, okno wskaźnika Technical </w:t>
      </w:r>
      <w:proofErr w:type="spellStart"/>
      <w:r>
        <w:t>Insight</w:t>
      </w:r>
      <w:proofErr w:type="spellEnd"/>
      <w:r>
        <w:t xml:space="preserve">™ zawiera unikalne pomysły handlowe podzielone według następujących ram czasowych: krótkoterminowe (2 - 6 tygodni), średnioterminowe (6 tygodni - 9 miesięcy) i długoterminowe (ponad 9 miesięcy). Tuż poniżej znajduje się lista Aktywnych Zdarzeń, które dotyczą technicznych zdarzeń opartych na wzorcach </w:t>
      </w:r>
      <w:proofErr w:type="spellStart"/>
      <w:r>
        <w:t>price</w:t>
      </w:r>
      <w:proofErr w:type="spellEnd"/>
      <w:r>
        <w:t xml:space="preserve"> </w:t>
      </w:r>
      <w:proofErr w:type="spellStart"/>
      <w:r>
        <w:t>action</w:t>
      </w:r>
      <w:proofErr w:type="spellEnd"/>
      <w:r>
        <w:t xml:space="preserve"> i niektórych technicznych wskaźnikach handlowych. W przypadku Sony </w:t>
      </w:r>
      <w:proofErr w:type="spellStart"/>
      <w:r>
        <w:t>Corp</w:t>
      </w:r>
      <w:proofErr w:type="spellEnd"/>
      <w:r>
        <w:t xml:space="preserve"> mamy do czynienia z 24 różnymi zdarzeniami technicznymi (w momencie pisania tego artykułu).</w:t>
      </w:r>
    </w:p>
    <w:p w:rsidR="00CD6231" w:rsidRDefault="00CD6231" w:rsidP="00CD6231">
      <w:pPr>
        <w:pStyle w:val="NormalnyWeb"/>
        <w:jc w:val="both"/>
      </w:pPr>
      <w:r>
        <w:t xml:space="preserve">Jeśli </w:t>
      </w:r>
      <w:proofErr w:type="spellStart"/>
      <w:r>
        <w:t>Trader</w:t>
      </w:r>
      <w:proofErr w:type="spellEnd"/>
      <w:r>
        <w:t xml:space="preserve"> miał ogólne bycze nastawienie do akcji Sony </w:t>
      </w:r>
      <w:proofErr w:type="spellStart"/>
      <w:r>
        <w:t>Corp</w:t>
      </w:r>
      <w:proofErr w:type="spellEnd"/>
      <w:r>
        <w:t xml:space="preserve"> z powodu silnych warunków ekonomicznych, które powodują, że konsumenci wydają więcej pieniędzy na takie rzeczy, jak elektronika, możesz zdecydować się na kliknięcie na jedno z krótkoterminowych byczych zdarzeń. Na przykład, klikając na wydarzenie "</w:t>
      </w:r>
      <w:proofErr w:type="spellStart"/>
      <w:r>
        <w:t>Weekly</w:t>
      </w:r>
      <w:proofErr w:type="spellEnd"/>
      <w:r>
        <w:t xml:space="preserve"> </w:t>
      </w:r>
      <w:proofErr w:type="spellStart"/>
      <w:r>
        <w:t>Momentum</w:t>
      </w:r>
      <w:proofErr w:type="spellEnd"/>
      <w:r>
        <w:t>", otwiera się wyjaśnienie zdarzenia technicznego, jak pokazano poniżej:</w:t>
      </w:r>
    </w:p>
    <w:p w:rsidR="00CD6231" w:rsidRDefault="00CD6231" w:rsidP="00CD6231">
      <w:pPr>
        <w:pStyle w:val="NormalnyWeb"/>
        <w:jc w:val="both"/>
      </w:pPr>
      <w:r>
        <w:rPr>
          <w:noProof/>
        </w:rPr>
        <w:drawing>
          <wp:inline distT="0" distB="0" distL="0" distR="0">
            <wp:extent cx="6858000" cy="4394200"/>
            <wp:effectExtent l="0" t="0" r="0" b="6350"/>
            <wp:docPr id="15" name="Obraz 15" descr="japońska giełda akcje Sony Corp ze wskaźnikiem Trading central Technical ins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japońska giełda akcje Sony Corp ze wskaźnikiem Trading central Technical insight"/>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858000" cy="4394200"/>
                    </a:xfrm>
                    <a:prstGeom prst="rect">
                      <a:avLst/>
                    </a:prstGeom>
                    <a:noFill/>
                    <a:ln>
                      <a:noFill/>
                    </a:ln>
                  </pic:spPr>
                </pic:pic>
              </a:graphicData>
            </a:graphic>
          </wp:inline>
        </w:drawing>
      </w:r>
    </w:p>
    <w:p w:rsidR="00CD6231" w:rsidRDefault="00CD6231" w:rsidP="00CD6231">
      <w:pPr>
        <w:pStyle w:val="NormalnyWeb"/>
        <w:jc w:val="both"/>
      </w:pPr>
      <w:r>
        <w:rPr>
          <w:rStyle w:val="Uwydatnienie"/>
        </w:rPr>
        <w:t xml:space="preserve">Zrzut ekranu z platformy transakcyjnej </w:t>
      </w:r>
      <w:proofErr w:type="spellStart"/>
      <w:r>
        <w:rPr>
          <w:rStyle w:val="Uwydatnienie"/>
        </w:rPr>
        <w:t>MetaTrader</w:t>
      </w:r>
      <w:proofErr w:type="spellEnd"/>
      <w:r>
        <w:rPr>
          <w:rStyle w:val="Uwydatnienie"/>
        </w:rPr>
        <w:t xml:space="preserve"> 5 </w:t>
      </w:r>
      <w:proofErr w:type="spellStart"/>
      <w:r>
        <w:rPr>
          <w:rStyle w:val="Uwydatnienie"/>
        </w:rPr>
        <w:t>Supreme</w:t>
      </w:r>
      <w:proofErr w:type="spellEnd"/>
      <w:r>
        <w:rPr>
          <w:rStyle w:val="Uwydatnienie"/>
        </w:rPr>
        <w:t xml:space="preserve"> Edition dostarczonej przez </w:t>
      </w:r>
      <w:proofErr w:type="spellStart"/>
      <w:r>
        <w:rPr>
          <w:rStyle w:val="Uwydatnienie"/>
        </w:rPr>
        <w:t>Admirals</w:t>
      </w:r>
      <w:proofErr w:type="spellEnd"/>
      <w:r>
        <w:rPr>
          <w:rStyle w:val="Uwydatnienie"/>
        </w:rPr>
        <w:t xml:space="preserve">, przedstawiający wskaźnik Trading Central Technical </w:t>
      </w:r>
      <w:proofErr w:type="spellStart"/>
      <w:r>
        <w:rPr>
          <w:rStyle w:val="Uwydatnienie"/>
        </w:rPr>
        <w:t>Insight</w:t>
      </w:r>
      <w:proofErr w:type="spellEnd"/>
      <w:r>
        <w:rPr>
          <w:rStyle w:val="Uwydatnienie"/>
        </w:rPr>
        <w:t>™, który dotyczy zdarzenia technicznego Sony Corp.</w:t>
      </w:r>
    </w:p>
    <w:p w:rsidR="00CD6231" w:rsidRDefault="00CD6231" w:rsidP="00CD6231">
      <w:pPr>
        <w:pStyle w:val="NormalnyWeb"/>
        <w:jc w:val="both"/>
      </w:pPr>
      <w:r>
        <w:t xml:space="preserve">Wyjaśnia on zdarzenie techniczne na tygodniowym wykresie cen Sony </w:t>
      </w:r>
      <w:proofErr w:type="spellStart"/>
      <w:r>
        <w:t>Corp</w:t>
      </w:r>
      <w:proofErr w:type="spellEnd"/>
      <w:r>
        <w:t xml:space="preserve"> i zawiera pewne treści edukacyjne dotyczące używanego wskaźnika, który w tym przypadku jest </w:t>
      </w:r>
      <w:hyperlink r:id="rId44" w:tgtFrame="_blank" w:tooltip="wskaźniki forex" w:history="1">
        <w:r>
          <w:rPr>
            <w:rStyle w:val="Hipercze"/>
          </w:rPr>
          <w:t xml:space="preserve">wskaźnikiem </w:t>
        </w:r>
        <w:proofErr w:type="spellStart"/>
        <w:r>
          <w:rPr>
            <w:rStyle w:val="Hipercze"/>
          </w:rPr>
          <w:t>forex</w:t>
        </w:r>
        <w:proofErr w:type="spellEnd"/>
      </w:hyperlink>
      <w:r>
        <w:t xml:space="preserve"> </w:t>
      </w:r>
      <w:proofErr w:type="spellStart"/>
      <w:r>
        <w:t>momentum</w:t>
      </w:r>
      <w:proofErr w:type="spellEnd"/>
      <w:r>
        <w:t xml:space="preserve">. </w:t>
      </w:r>
      <w:proofErr w:type="spellStart"/>
      <w:r>
        <w:t>Traderzy</w:t>
      </w:r>
      <w:proofErr w:type="spellEnd"/>
      <w:r>
        <w:t xml:space="preserve"> mogą zobaczyć zarówno wskaźnik i wykres w tym oknie, ale również mają możliwość sprawdzenia długoterminowych, czy miesięcznych notowań przy użyciu standardowego wykresu cen akcji Sony </w:t>
      </w:r>
      <w:proofErr w:type="spellStart"/>
      <w:r>
        <w:t>Corp</w:t>
      </w:r>
      <w:proofErr w:type="spellEnd"/>
      <w:r>
        <w:t xml:space="preserve"> na platformie transakcyjnej </w:t>
      </w:r>
      <w:proofErr w:type="spellStart"/>
      <w:r>
        <w:t>MetaTrader</w:t>
      </w:r>
      <w:proofErr w:type="spellEnd"/>
      <w:r>
        <w:t xml:space="preserve"> dostarczonej przez </w:t>
      </w:r>
      <w:proofErr w:type="spellStart"/>
      <w:r>
        <w:t>Admirals</w:t>
      </w:r>
      <w:proofErr w:type="spellEnd"/>
      <w:r>
        <w:t>.</w:t>
      </w:r>
    </w:p>
    <w:p w:rsidR="00CD6231" w:rsidRDefault="00CD6231" w:rsidP="00CD6231">
      <w:pPr>
        <w:pStyle w:val="NormalnyWeb"/>
        <w:jc w:val="both"/>
      </w:pPr>
      <w:r>
        <w:rPr>
          <w:noProof/>
        </w:rPr>
        <w:lastRenderedPageBreak/>
        <w:drawing>
          <wp:inline distT="0" distB="0" distL="0" distR="0">
            <wp:extent cx="6858000" cy="3835400"/>
            <wp:effectExtent l="0" t="0" r="0" b="0"/>
            <wp:docPr id="14" name="Obraz 14" descr="akcje japońskie Sony Corp - wyk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akcje japońskie Sony Corp - wykres"/>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858000" cy="3835400"/>
                    </a:xfrm>
                    <a:prstGeom prst="rect">
                      <a:avLst/>
                    </a:prstGeom>
                    <a:noFill/>
                    <a:ln>
                      <a:noFill/>
                    </a:ln>
                  </pic:spPr>
                </pic:pic>
              </a:graphicData>
            </a:graphic>
          </wp:inline>
        </w:drawing>
      </w:r>
    </w:p>
    <w:p w:rsidR="00CD6231" w:rsidRDefault="00CD6231" w:rsidP="00CD6231">
      <w:pPr>
        <w:pStyle w:val="NormalnyWeb"/>
        <w:jc w:val="both"/>
      </w:pPr>
      <w:r>
        <w:rPr>
          <w:rStyle w:val="Uwydatnienie"/>
        </w:rPr>
        <w:t xml:space="preserve">Źródło: </w:t>
      </w:r>
      <w:proofErr w:type="spellStart"/>
      <w:r>
        <w:rPr>
          <w:rStyle w:val="Uwydatnienie"/>
        </w:rPr>
        <w:t>Admirals</w:t>
      </w:r>
      <w:proofErr w:type="spellEnd"/>
      <w:r>
        <w:rPr>
          <w:rStyle w:val="Uwydatnienie"/>
        </w:rPr>
        <w:t xml:space="preserve"> </w:t>
      </w:r>
      <w:proofErr w:type="spellStart"/>
      <w:r>
        <w:rPr>
          <w:rStyle w:val="Uwydatnienie"/>
        </w:rPr>
        <w:t>MetaTrader</w:t>
      </w:r>
      <w:proofErr w:type="spellEnd"/>
      <w:r>
        <w:rPr>
          <w:rStyle w:val="Uwydatnienie"/>
        </w:rPr>
        <w:t xml:space="preserve"> 5, #6758.JP, wykres miesięczny - Zakres danych: od 1 lipca 2008 do 10 maja 2020. Sporządzono dnia 10 maja 2020 o godzinie 13:15 GMT. Uwaga: Wyniki osiągnięte w przeszłości nie gwarantują podobnych w przyszłości.</w:t>
      </w:r>
    </w:p>
    <w:p w:rsidR="00CD6231" w:rsidRDefault="00CD6231" w:rsidP="00CD6231">
      <w:pPr>
        <w:pStyle w:val="NormalnyWeb"/>
        <w:jc w:val="both"/>
      </w:pPr>
      <w:r>
        <w:t xml:space="preserve">Na powyższym miesięcznym wykresie cen akcji Sony </w:t>
      </w:r>
      <w:proofErr w:type="spellStart"/>
      <w:r>
        <w:t>Corp</w:t>
      </w:r>
      <w:proofErr w:type="spellEnd"/>
      <w:r>
        <w:t xml:space="preserve"> widać wyraźny trend wzrostowy, który rozpoczął się w 2013 roku. Czerwona linia to 50-okresowa wykładnicza średnia krocząca. Wskaźnik ten pomaga zidentyfikować trend na rynku. Jeśli cena znajduje się powyżej średniej ruchomej i linia ta również podąża wyżej, oznacza to, że ogólnie na rynku jest więcej kupujących, co stwarza wiele okazji handlowych dla </w:t>
      </w:r>
      <w:proofErr w:type="spellStart"/>
      <w:r>
        <w:t>traderów</w:t>
      </w:r>
      <w:proofErr w:type="spellEnd"/>
      <w:r>
        <w:t xml:space="preserve"> zgodnie z tym trendem. Ta analiza w połączeniu z informacjami, jakie dostarcza wskaźnik Technical </w:t>
      </w:r>
      <w:proofErr w:type="spellStart"/>
      <w:r>
        <w:t>Insight</w:t>
      </w:r>
      <w:proofErr w:type="spellEnd"/>
      <w:r>
        <w:t>™ może pomóc w stworzeniu skutecznej metodologii handlu.</w:t>
      </w:r>
    </w:p>
    <w:p w:rsidR="00CD6231" w:rsidRDefault="00CD6231" w:rsidP="00CD6231">
      <w:pPr>
        <w:pStyle w:val="Nagwek3"/>
      </w:pPr>
      <w:r>
        <w:t xml:space="preserve">Dlaczego warto inwestować w akcje rynku japońskiego w </w:t>
      </w:r>
      <w:proofErr w:type="spellStart"/>
      <w:r>
        <w:t>Admirals</w:t>
      </w:r>
      <w:proofErr w:type="spellEnd"/>
      <w:r>
        <w:t>?</w:t>
      </w:r>
    </w:p>
    <w:p w:rsidR="00CD6231" w:rsidRDefault="00CD6231" w:rsidP="00CD6231">
      <w:pPr>
        <w:pStyle w:val="NormalnyWeb"/>
        <w:jc w:val="both"/>
      </w:pPr>
      <w:r>
        <w:t xml:space="preserve">Oto kilka powodów, dla których warto rozpocząć handel z </w:t>
      </w:r>
      <w:proofErr w:type="spellStart"/>
      <w:r>
        <w:t>Admirals</w:t>
      </w:r>
      <w:proofErr w:type="spellEnd"/>
      <w:r>
        <w:t>:</w:t>
      </w:r>
    </w:p>
    <w:p w:rsidR="00CD6231" w:rsidRDefault="00CD6231" w:rsidP="00CD6231">
      <w:pPr>
        <w:pStyle w:val="NormalnyWeb"/>
        <w:jc w:val="both"/>
      </w:pPr>
      <w:r>
        <w:rPr>
          <w:rFonts w:ascii="Segoe UI Symbol" w:hAnsi="Segoe UI Symbol" w:cs="Segoe UI Symbol"/>
        </w:rPr>
        <w:t>✔️</w:t>
      </w:r>
      <w:r>
        <w:t xml:space="preserve"> Handluj i inwestuj z brokerem regulowanym przez brytyjski Urząd Nadzoru Finansowego.</w:t>
      </w:r>
    </w:p>
    <w:p w:rsidR="00CD6231" w:rsidRDefault="00CD6231" w:rsidP="00CD6231">
      <w:pPr>
        <w:pStyle w:val="NormalnyWeb"/>
        <w:jc w:val="both"/>
      </w:pPr>
      <w:r>
        <w:rPr>
          <w:rFonts w:ascii="Segoe UI Symbol" w:hAnsi="Segoe UI Symbol" w:cs="Segoe UI Symbol"/>
        </w:rPr>
        <w:t>✔️</w:t>
      </w:r>
      <w:r>
        <w:t xml:space="preserve"> Skorzystaj z </w:t>
      </w:r>
      <w:hyperlink r:id="rId46" w:tgtFrame="_blank" w:tooltip="ochrona salda forex" w:history="1">
        <w:r>
          <w:rPr>
            <w:rStyle w:val="Hipercze"/>
          </w:rPr>
          <w:t>Polityki Ochrony przed Ujemnym Saldem</w:t>
        </w:r>
      </w:hyperlink>
      <w:r>
        <w:t>, aby uchronić się przed nagłymi i niekorzystnymi ruchami cenowymi na rynku.</w:t>
      </w:r>
    </w:p>
    <w:p w:rsidR="00CD6231" w:rsidRDefault="00CD6231" w:rsidP="00CD6231">
      <w:pPr>
        <w:pStyle w:val="NormalnyWeb"/>
        <w:jc w:val="both"/>
      </w:pPr>
      <w:r>
        <w:rPr>
          <w:rFonts w:ascii="Segoe UI Symbol" w:hAnsi="Segoe UI Symbol" w:cs="Segoe UI Symbol"/>
        </w:rPr>
        <w:t>✔️</w:t>
      </w:r>
      <w:r>
        <w:t xml:space="preserve"> Uzyskaj BEZPŁATNY dostęp do najszybszej i najpopularniejszej platformy transakcyjnej online </w:t>
      </w:r>
      <w:proofErr w:type="spellStart"/>
      <w:r>
        <w:t>MetaTrader</w:t>
      </w:r>
      <w:proofErr w:type="spellEnd"/>
      <w:r>
        <w:t>, z której możesz korzystać na komputerach PC, Mac, Web, Android oraz systemach operacyjnych iOS.</w:t>
      </w:r>
    </w:p>
    <w:p w:rsidR="00CD6231" w:rsidRDefault="00CD6231" w:rsidP="00CD6231">
      <w:pPr>
        <w:pStyle w:val="NormalnyWeb"/>
        <w:jc w:val="both"/>
      </w:pPr>
      <w:r>
        <w:rPr>
          <w:rFonts w:ascii="Segoe UI Symbol" w:hAnsi="Segoe UI Symbol" w:cs="Segoe UI Symbol"/>
        </w:rPr>
        <w:lastRenderedPageBreak/>
        <w:t>✔️</w:t>
      </w:r>
      <w:r>
        <w:t xml:space="preserve"> Otwórz rachunek inwestycyjny Invest.MT5, aby kupować akcje i ETF-y z 15 największych giełd na świecie.</w:t>
      </w:r>
    </w:p>
    <w:p w:rsidR="00CD6231" w:rsidRDefault="00CD6231" w:rsidP="00CD6231">
      <w:pPr>
        <w:pStyle w:val="NormalnyWeb"/>
        <w:jc w:val="both"/>
      </w:pPr>
      <w:r>
        <w:rPr>
          <w:rFonts w:ascii="Segoe UI Symbol" w:hAnsi="Segoe UI Symbol" w:cs="Segoe UI Symbol"/>
        </w:rPr>
        <w:t>✔️</w:t>
      </w:r>
      <w:r>
        <w:t xml:space="preserve"> Otwórz rachunek Trade.MT5 i rozpocznij handel kontraktami CFD (</w:t>
      </w:r>
      <w:hyperlink r:id="rId47" w:tgtFrame="_blank" w:tooltip="co to jest CFD" w:history="1">
        <w:r>
          <w:rPr>
            <w:rStyle w:val="Hipercze"/>
          </w:rPr>
          <w:t>kontrakty na różnice kursowe</w:t>
        </w:r>
      </w:hyperlink>
      <w:r>
        <w:t>). Otwieraj pozycje długie lub krótkie, dzięki czemu możesz wykorzystać zarówno spadki, jak i wzrosty kursów.</w:t>
      </w:r>
    </w:p>
    <w:p w:rsidR="00CD6231" w:rsidRDefault="00CD6231" w:rsidP="00CD6231">
      <w:pPr>
        <w:pStyle w:val="NormalnyWeb"/>
        <w:jc w:val="both"/>
      </w:pPr>
      <w:r>
        <w:rPr>
          <w:rFonts w:ascii="Segoe UI Symbol" w:hAnsi="Segoe UI Symbol" w:cs="Segoe UI Symbol"/>
        </w:rPr>
        <w:t>✔️</w:t>
      </w:r>
      <w:r>
        <w:t xml:space="preserve"> Uzyskaj BEZPŁATNY dostęp do Trading Central przez bogatą w funkcje </w:t>
      </w:r>
      <w:proofErr w:type="spellStart"/>
      <w:r>
        <w:t>MetaTrader</w:t>
      </w:r>
      <w:proofErr w:type="spellEnd"/>
      <w:r>
        <w:t xml:space="preserve"> </w:t>
      </w:r>
      <w:proofErr w:type="spellStart"/>
      <w:r>
        <w:t>Supreme</w:t>
      </w:r>
      <w:proofErr w:type="spellEnd"/>
      <w:r>
        <w:t xml:space="preserve"> Edition udostępnianą przez </w:t>
      </w:r>
      <w:proofErr w:type="spellStart"/>
      <w:r>
        <w:t>Admirals</w:t>
      </w:r>
      <w:proofErr w:type="spellEnd"/>
      <w:r>
        <w:t>.</w:t>
      </w:r>
    </w:p>
    <w:p w:rsidR="00CD6231" w:rsidRDefault="00CD6231" w:rsidP="00CD6231">
      <w:pPr>
        <w:pStyle w:val="NormalnyWeb"/>
        <w:jc w:val="both"/>
      </w:pPr>
      <w:r>
        <w:t>Zacznij już dziś, otwierając bezpłatny rachunek demo, abyś mógł inwestować w wirtualnym środowisku do momentu, aż poczujesz się gotowy, aby zacząć naprawdę inwestować!</w:t>
      </w:r>
    </w:p>
    <w:p w:rsidR="00CD6231" w:rsidRDefault="00CD6231" w:rsidP="00CD6231">
      <w:r>
        <w:t>Wolny od ryzyka rachunek demo</w:t>
      </w:r>
    </w:p>
    <w:p w:rsidR="00CD6231" w:rsidRDefault="00CD6231" w:rsidP="00CD6231">
      <w:pPr>
        <w:pStyle w:val="NormalnyWeb"/>
      </w:pPr>
      <w:r>
        <w:t>Zarejestruj się na bezpłatnym rachunku demo i testuj swoje strategie inwestycyjne</w:t>
      </w:r>
    </w:p>
    <w:p w:rsidR="00CD6231" w:rsidRDefault="00CD6231" w:rsidP="00CD6231">
      <w:hyperlink r:id="rId48" w:tgtFrame="_blank" w:history="1">
        <w:r>
          <w:rPr>
            <w:rStyle w:val="Hipercze"/>
          </w:rPr>
          <w:t>OTWÓRZ RACHUNEK DEMO</w:t>
        </w:r>
      </w:hyperlink>
    </w:p>
    <w:p w:rsidR="00CD6231" w:rsidRDefault="00CD6231" w:rsidP="00CD6231">
      <w:r>
        <w:rPr>
          <w:noProof/>
          <w:color w:val="0000FF"/>
          <w:lang w:eastAsia="pl-PL"/>
        </w:rPr>
        <w:drawing>
          <wp:inline distT="0" distB="0" distL="0" distR="0">
            <wp:extent cx="1809750" cy="1809750"/>
            <wp:effectExtent l="0" t="0" r="0" b="0"/>
            <wp:docPr id="13" name="Obraz 13" descr="Wolny od ryzyka rachunek demo">
              <a:hlinkClick xmlns:a="http://schemas.openxmlformats.org/drawingml/2006/main" r:id="rId4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Wolny od ryzyka rachunek demo">
                      <a:hlinkClick r:id="rId48" tgtFrame="&quot;_blank&quo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809750" cy="1809750"/>
                    </a:xfrm>
                    <a:prstGeom prst="rect">
                      <a:avLst/>
                    </a:prstGeom>
                    <a:noFill/>
                    <a:ln>
                      <a:noFill/>
                    </a:ln>
                  </pic:spPr>
                </pic:pic>
              </a:graphicData>
            </a:graphic>
          </wp:inline>
        </w:drawing>
      </w:r>
    </w:p>
    <w:p w:rsidR="00CD6231" w:rsidRDefault="00CD6231" w:rsidP="00CD6231">
      <w:pPr>
        <w:pStyle w:val="NormalnyWeb"/>
        <w:jc w:val="both"/>
      </w:pPr>
      <w:r>
        <w:rPr>
          <w:b/>
          <w:bCs/>
        </w:rPr>
        <w:t>Inne artykuły, które mogą Cię również zainteresować:</w:t>
      </w:r>
    </w:p>
    <w:p w:rsidR="00CD6231" w:rsidRDefault="00CD6231" w:rsidP="00CD6231">
      <w:pPr>
        <w:numPr>
          <w:ilvl w:val="0"/>
          <w:numId w:val="10"/>
        </w:numPr>
        <w:spacing w:before="100" w:beforeAutospacing="1" w:after="100" w:afterAutospacing="1" w:line="240" w:lineRule="auto"/>
        <w:jc w:val="both"/>
      </w:pPr>
      <w:hyperlink r:id="rId50" w:tgtFrame="_blank" w:tooltip="ftse100" w:history="1">
        <w:r>
          <w:rPr>
            <w:rStyle w:val="Hipercze"/>
          </w:rPr>
          <w:t>Jak handlować indeksem FTSE 100</w:t>
        </w:r>
      </w:hyperlink>
    </w:p>
    <w:p w:rsidR="00CD6231" w:rsidRDefault="00CD6231" w:rsidP="00CD6231">
      <w:pPr>
        <w:numPr>
          <w:ilvl w:val="0"/>
          <w:numId w:val="10"/>
        </w:numPr>
        <w:spacing w:before="100" w:beforeAutospacing="1" w:after="100" w:afterAutospacing="1" w:line="240" w:lineRule="auto"/>
        <w:jc w:val="both"/>
      </w:pPr>
      <w:hyperlink r:id="rId51" w:tgtFrame="_blank" w:tooltip="kryzys giełda" w:history="1">
        <w:r>
          <w:rPr>
            <w:rStyle w:val="Hipercze"/>
          </w:rPr>
          <w:t>W co inwestować w kryzysie - lista najlepszych akcji</w:t>
        </w:r>
      </w:hyperlink>
    </w:p>
    <w:p w:rsidR="00CD6231" w:rsidRDefault="00CD6231" w:rsidP="00CD6231">
      <w:pPr>
        <w:numPr>
          <w:ilvl w:val="0"/>
          <w:numId w:val="10"/>
        </w:numPr>
        <w:spacing w:before="100" w:beforeAutospacing="1" w:after="100" w:afterAutospacing="1" w:line="240" w:lineRule="auto"/>
        <w:jc w:val="both"/>
      </w:pPr>
      <w:hyperlink r:id="rId52" w:tgtFrame="_blank" w:tooltip="hedging na giełdzie" w:history="1">
        <w:r>
          <w:rPr>
            <w:rStyle w:val="Hipercze"/>
          </w:rPr>
          <w:t xml:space="preserve">Fundusze </w:t>
        </w:r>
        <w:proofErr w:type="spellStart"/>
        <w:r>
          <w:rPr>
            <w:rStyle w:val="Hipercze"/>
          </w:rPr>
          <w:t>hedge</w:t>
        </w:r>
        <w:proofErr w:type="spellEnd"/>
        <w:r>
          <w:rPr>
            <w:rStyle w:val="Hipercze"/>
          </w:rPr>
          <w:t xml:space="preserve"> - kompleksowy poradnik strategii dotyczących funduszy </w:t>
        </w:r>
        <w:proofErr w:type="spellStart"/>
        <w:r>
          <w:rPr>
            <w:rStyle w:val="Hipercze"/>
          </w:rPr>
          <w:t>hedgingowych</w:t>
        </w:r>
        <w:proofErr w:type="spellEnd"/>
      </w:hyperlink>
    </w:p>
    <w:p w:rsidR="00CD6231" w:rsidRDefault="00CD6231" w:rsidP="00CD6231">
      <w:pPr>
        <w:pStyle w:val="NormalnyWeb"/>
        <w:jc w:val="both"/>
      </w:pPr>
      <w:r>
        <w:rPr>
          <w:b/>
          <w:bCs/>
        </w:rPr>
        <w:t xml:space="preserve">O </w:t>
      </w:r>
      <w:proofErr w:type="spellStart"/>
      <w:r>
        <w:rPr>
          <w:b/>
          <w:bCs/>
        </w:rPr>
        <w:t>Admirals</w:t>
      </w:r>
      <w:proofErr w:type="spellEnd"/>
    </w:p>
    <w:p w:rsidR="00CD6231" w:rsidRDefault="00CD6231" w:rsidP="00CD6231">
      <w:pPr>
        <w:pStyle w:val="NormalnyWeb"/>
        <w:jc w:val="both"/>
      </w:pPr>
      <w:proofErr w:type="spellStart"/>
      <w:r>
        <w:t>Admirals</w:t>
      </w:r>
      <w:proofErr w:type="spellEnd"/>
      <w:r>
        <w:t xml:space="preserve"> to broker o globalnej obecności, który jest regulowany i licencjonowany przez różne organy regulacyjne. Umożliwia handel na ponad 8 000 instrumentów finansowych, takich jak </w:t>
      </w:r>
      <w:proofErr w:type="spellStart"/>
      <w:r>
        <w:t>Forex</w:t>
      </w:r>
      <w:proofErr w:type="spellEnd"/>
      <w:r>
        <w:t xml:space="preserve"> i CFD na akcje, indeksy, obligacje, towary, ETF i </w:t>
      </w:r>
      <w:proofErr w:type="spellStart"/>
      <w:r>
        <w:t>kryptowaluty</w:t>
      </w:r>
      <w:proofErr w:type="spellEnd"/>
      <w:r>
        <w:t>.</w:t>
      </w:r>
    </w:p>
    <w:p w:rsidR="00CD6231" w:rsidRDefault="00CD6231" w:rsidP="00CD6231">
      <w:pPr>
        <w:pStyle w:val="NormalnyWeb"/>
        <w:jc w:val="both"/>
      </w:pPr>
      <w:r>
        <w:t xml:space="preserve">Poza wyżej wymienionymi zapewnia możliwość inwestowania w prawdziwe akcje i </w:t>
      </w:r>
      <w:hyperlink r:id="rId53" w:tgtFrame="_blank" w:tooltip="fundusze ETF" w:history="1">
        <w:r>
          <w:rPr>
            <w:rStyle w:val="Hipercze"/>
          </w:rPr>
          <w:t>fundusze ETF</w:t>
        </w:r>
      </w:hyperlink>
      <w:r>
        <w:t xml:space="preserve">. Dzięki </w:t>
      </w:r>
      <w:proofErr w:type="spellStart"/>
      <w:r>
        <w:t>Admirals</w:t>
      </w:r>
      <w:proofErr w:type="spellEnd"/>
      <w:r>
        <w:t xml:space="preserve"> możesz bezpłatnie korzystać z najbardziej innowacyjnych platform handlowych, takich jak </w:t>
      </w:r>
      <w:proofErr w:type="spellStart"/>
      <w:r>
        <w:t>MetaTrader</w:t>
      </w:r>
      <w:proofErr w:type="spellEnd"/>
      <w:r>
        <w:t xml:space="preserve"> 4 i </w:t>
      </w:r>
      <w:proofErr w:type="spellStart"/>
      <w:r>
        <w:t>MetaTrader</w:t>
      </w:r>
      <w:proofErr w:type="spellEnd"/>
      <w:r>
        <w:t xml:space="preserve"> 5, a także ekskluzywnej wtyczki </w:t>
      </w:r>
      <w:proofErr w:type="spellStart"/>
      <w:r>
        <w:t>MetaTrader</w:t>
      </w:r>
      <w:proofErr w:type="spellEnd"/>
      <w:r>
        <w:t xml:space="preserve"> </w:t>
      </w:r>
      <w:proofErr w:type="spellStart"/>
      <w:r>
        <w:t>Supreme</w:t>
      </w:r>
      <w:proofErr w:type="spellEnd"/>
      <w:r>
        <w:t xml:space="preserve"> Edition. </w:t>
      </w:r>
      <w:hyperlink r:id="rId54" w:tgtFrame="_blank" w:history="1">
        <w:r>
          <w:rPr>
            <w:rStyle w:val="Hipercze"/>
          </w:rPr>
          <w:t>Zacznij handlować już dziś</w:t>
        </w:r>
      </w:hyperlink>
      <w:r>
        <w:t>!</w:t>
      </w:r>
    </w:p>
    <w:p w:rsidR="00CD6231" w:rsidRDefault="00CD6231" w:rsidP="00CD6231">
      <w:pPr>
        <w:pStyle w:val="NormalnyWeb"/>
        <w:jc w:val="both"/>
      </w:pPr>
      <w:r>
        <w:rPr>
          <w:rStyle w:val="Uwydatnienie"/>
        </w:rPr>
        <w:t>INFORMACJE O MATERIAŁACH ANALITYCZNYCH:</w:t>
      </w:r>
    </w:p>
    <w:p w:rsidR="00CD6231" w:rsidRDefault="00CD6231" w:rsidP="00CD6231">
      <w:pPr>
        <w:pStyle w:val="NormalnyWeb"/>
        <w:jc w:val="both"/>
      </w:pPr>
      <w:r>
        <w:rPr>
          <w:rStyle w:val="Uwydatnienie"/>
        </w:rPr>
        <w:lastRenderedPageBreak/>
        <w:t xml:space="preserve">Podane dane dostarczają dodatkowych informacji dotyczących wszystkich analiz, szacunków, prognoz, spekulacji, przewidywań, przeglądów rynku, prognoz tygodniowych lub innych podobnych ocen lub informacji (zwanych dalej "Analizą") publikowanych na stronie internetowej </w:t>
      </w:r>
      <w:proofErr w:type="spellStart"/>
      <w:r>
        <w:rPr>
          <w:rStyle w:val="Uwydatnienie"/>
        </w:rPr>
        <w:t>Admirals</w:t>
      </w:r>
      <w:proofErr w:type="spellEnd"/>
      <w:r>
        <w:rPr>
          <w:rStyle w:val="Uwydatnienie"/>
        </w:rPr>
        <w:t>. Przed podjęciem jakichkolwiek decyzji inwestycyjnych należy zwrócić szczególną uwagę na następujące kwestie:</w:t>
      </w:r>
    </w:p>
    <w:p w:rsidR="00CD6231" w:rsidRDefault="00CD6231" w:rsidP="00CD6231">
      <w:pPr>
        <w:pStyle w:val="NormalnyWeb"/>
        <w:jc w:val="both"/>
      </w:pPr>
      <w:r>
        <w:rPr>
          <w:rStyle w:val="Uwydatnienie"/>
        </w:rPr>
        <w:t>1. Jest to komunikat marketingowy. Treści publikowane są wyłącznie w celach informacyjnych i w żaden sposób nie mogą być interpretowane jako doradztwa lub rekomendacji inwestycyjnej. Nie została ona przygotowana zgodnie z wymogami prawnymi mającymi na celu promowanie niezależności badań inwestycyjnych i nie podlega żadnemu zakazowi zajmowania się rozpowszechnianiem badań inwestycyjnych.</w:t>
      </w:r>
    </w:p>
    <w:p w:rsidR="00CD6231" w:rsidRDefault="00CD6231" w:rsidP="00CD6231">
      <w:pPr>
        <w:pStyle w:val="NormalnyWeb"/>
        <w:jc w:val="both"/>
      </w:pPr>
      <w:r>
        <w:rPr>
          <w:rStyle w:val="Uwydatnienie"/>
        </w:rPr>
        <w:t xml:space="preserve">2. Każda decyzja inwestycyjna jest podejmowana indywidualnie przez każdego klienta, natomiast </w:t>
      </w:r>
      <w:proofErr w:type="spellStart"/>
      <w:r>
        <w:rPr>
          <w:rStyle w:val="Uwydatnienie"/>
        </w:rPr>
        <w:t>Admirals</w:t>
      </w:r>
      <w:proofErr w:type="spellEnd"/>
      <w:r>
        <w:rPr>
          <w:rStyle w:val="Uwydatnienie"/>
        </w:rPr>
        <w:t xml:space="preserve"> nie ponosi odpowiedzialności za jakiekolwiek straty lub szkody wynikające z takiej decyzji, niezależnie od tego, czy została podjęta w oparciu się o Analizę, czy też nie.</w:t>
      </w:r>
    </w:p>
    <w:p w:rsidR="00CD6231" w:rsidRDefault="00CD6231" w:rsidP="00CD6231">
      <w:pPr>
        <w:pStyle w:val="NormalnyWeb"/>
        <w:jc w:val="both"/>
      </w:pPr>
      <w:r>
        <w:rPr>
          <w:rStyle w:val="Uwydatnienie"/>
        </w:rPr>
        <w:t xml:space="preserve">3. W celu ochrony interesów naszych klientów i obiektywności Analizy, </w:t>
      </w:r>
      <w:proofErr w:type="spellStart"/>
      <w:r>
        <w:rPr>
          <w:rStyle w:val="Uwydatnienie"/>
        </w:rPr>
        <w:t>Admirals</w:t>
      </w:r>
      <w:proofErr w:type="spellEnd"/>
      <w:r>
        <w:rPr>
          <w:rStyle w:val="Uwydatnienie"/>
        </w:rPr>
        <w:t xml:space="preserve"> ustanowił odpowiednie wewnętrzne procedury zapobiegania konfliktom interesów i zarządzania nimi.</w:t>
      </w:r>
    </w:p>
    <w:p w:rsidR="00CD6231" w:rsidRDefault="00CD6231" w:rsidP="00CD6231">
      <w:pPr>
        <w:pStyle w:val="NormalnyWeb"/>
        <w:jc w:val="both"/>
      </w:pPr>
      <w:r>
        <w:rPr>
          <w:rStyle w:val="Uwydatnienie"/>
        </w:rPr>
        <w:t>4. Analiza jest przygotowywana przez niezależnego analityka (</w:t>
      </w:r>
      <w:proofErr w:type="spellStart"/>
      <w:r>
        <w:rPr>
          <w:rStyle w:val="Uwydatnienie"/>
        </w:rPr>
        <w:t>Ghilesa</w:t>
      </w:r>
      <w:proofErr w:type="spellEnd"/>
      <w:r>
        <w:rPr>
          <w:rStyle w:val="Uwydatnienie"/>
        </w:rPr>
        <w:t xml:space="preserve"> </w:t>
      </w:r>
      <w:proofErr w:type="spellStart"/>
      <w:r>
        <w:rPr>
          <w:rStyle w:val="Uwydatnienie"/>
        </w:rPr>
        <w:t>Guezout</w:t>
      </w:r>
      <w:proofErr w:type="spellEnd"/>
      <w:r>
        <w:rPr>
          <w:rStyle w:val="Uwydatnienie"/>
        </w:rPr>
        <w:t>) - niezależny współtwórca (zwanego dalej "Autorem") na podstawie osobistych szacunków.</w:t>
      </w:r>
    </w:p>
    <w:p w:rsidR="00CD6231" w:rsidRDefault="00CD6231" w:rsidP="00CD6231">
      <w:pPr>
        <w:pStyle w:val="NormalnyWeb"/>
        <w:jc w:val="both"/>
      </w:pPr>
      <w:r>
        <w:rPr>
          <w:rStyle w:val="Uwydatnienie"/>
        </w:rPr>
        <w:t xml:space="preserve">5. Chociaż dokładamy wszelkich starań, aby zapewnić, że wszystkie źródła Analizy są wiarygodne oraz że wszystkie informacje są prezentowane w możliwe najbardziej zrozumiały, terminowy, precyzyjny i kompletny sposób, </w:t>
      </w:r>
      <w:proofErr w:type="spellStart"/>
      <w:r>
        <w:rPr>
          <w:rStyle w:val="Uwydatnienie"/>
        </w:rPr>
        <w:t>Admirals</w:t>
      </w:r>
      <w:proofErr w:type="spellEnd"/>
      <w:r>
        <w:rPr>
          <w:rStyle w:val="Uwydatnienie"/>
        </w:rPr>
        <w:t xml:space="preserve"> nie gwarantuje dokładności ani kompletności jakichkolwiek informacji zawartych w Analizie. Przedstawione dane liczbowe odnoszą się do wyników osiągniętych w przeszłości, które nie są wiarygodnym wskaźnikiem przyszłych wskaźników.</w:t>
      </w:r>
      <w:bookmarkStart w:id="0" w:name="_GoBack"/>
      <w:bookmarkEnd w:id="0"/>
    </w:p>
    <w:p w:rsidR="00CD6231" w:rsidRDefault="00CD6231" w:rsidP="00CD6231">
      <w:pPr>
        <w:pStyle w:val="NormalnyWeb"/>
        <w:jc w:val="both"/>
      </w:pPr>
      <w:r>
        <w:rPr>
          <w:rStyle w:val="Uwydatnienie"/>
        </w:rPr>
        <w:t xml:space="preserve">6. Jakikolwiek rodzaj wcześniejszego lub modelowego wykonania instrumentów finansowych wskazanych w Publikacji nie powinien być interpretowany jako wyraźna lub domniemana obietnica, gwarancja lub implikacja przez </w:t>
      </w:r>
      <w:proofErr w:type="spellStart"/>
      <w:r>
        <w:rPr>
          <w:rStyle w:val="Uwydatnienie"/>
        </w:rPr>
        <w:t>Admirals</w:t>
      </w:r>
      <w:proofErr w:type="spellEnd"/>
      <w:r>
        <w:rPr>
          <w:rStyle w:val="Uwydatnienie"/>
        </w:rPr>
        <w:t xml:space="preserve"> dla jakichkolwiek przyszłych wyników. Wartość instrumentu finansowego może zarówno wzrastać, jak i maleć, przy czym nie gwarantuje się zachowania wartości aktywów.</w:t>
      </w:r>
    </w:p>
    <w:p w:rsidR="00CD6231" w:rsidRDefault="00CD6231" w:rsidP="00CD6231">
      <w:pPr>
        <w:pStyle w:val="NormalnyWeb"/>
        <w:jc w:val="both"/>
      </w:pPr>
      <w:r>
        <w:rPr>
          <w:rStyle w:val="Uwydatnienie"/>
        </w:rPr>
        <w:t xml:space="preserve">7. Instrumenty pochodne (w tym kontrakty CFD) mają charakter spekulacyjny i mogą prowadzić do strat lub zysków. Zanim zaczniesz handlować, powinieneś upewnić się, że rozumiesz związane z tym </w:t>
      </w:r>
      <w:hyperlink r:id="rId55" w:tgtFrame="_blank" w:history="1">
        <w:r>
          <w:rPr>
            <w:rStyle w:val="Hipercze"/>
          </w:rPr>
          <w:t>ryzyko</w:t>
        </w:r>
      </w:hyperlink>
      <w:r>
        <w:t>.</w:t>
      </w:r>
    </w:p>
    <w:p w:rsidR="00A21C03" w:rsidRPr="00A21C03" w:rsidRDefault="00A21C03" w:rsidP="00A21C03"/>
    <w:p w:rsidR="000135EE" w:rsidRPr="000135EE" w:rsidRDefault="000135EE" w:rsidP="00434479"/>
    <w:sectPr w:rsidR="000135EE" w:rsidRPr="000135E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101198"/>
    <w:multiLevelType w:val="multilevel"/>
    <w:tmpl w:val="4DB0D9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B966E4D"/>
    <w:multiLevelType w:val="multilevel"/>
    <w:tmpl w:val="7A20C0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F605181"/>
    <w:multiLevelType w:val="multilevel"/>
    <w:tmpl w:val="202ED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B0414A"/>
    <w:multiLevelType w:val="multilevel"/>
    <w:tmpl w:val="D6286F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98E6FDF"/>
    <w:multiLevelType w:val="multilevel"/>
    <w:tmpl w:val="269C7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13025E"/>
    <w:multiLevelType w:val="multilevel"/>
    <w:tmpl w:val="13C4B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DF327DB"/>
    <w:multiLevelType w:val="multilevel"/>
    <w:tmpl w:val="90300D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81F6D77"/>
    <w:multiLevelType w:val="multilevel"/>
    <w:tmpl w:val="7F6CC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B204AA"/>
    <w:multiLevelType w:val="multilevel"/>
    <w:tmpl w:val="40C8B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2DB2B32"/>
    <w:multiLevelType w:val="multilevel"/>
    <w:tmpl w:val="9E7A3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9"/>
  </w:num>
  <w:num w:numId="3">
    <w:abstractNumId w:val="6"/>
  </w:num>
  <w:num w:numId="4">
    <w:abstractNumId w:val="8"/>
  </w:num>
  <w:num w:numId="5">
    <w:abstractNumId w:val="0"/>
  </w:num>
  <w:num w:numId="6">
    <w:abstractNumId w:val="5"/>
  </w:num>
  <w:num w:numId="7">
    <w:abstractNumId w:val="1"/>
  </w:num>
  <w:num w:numId="8">
    <w:abstractNumId w:val="7"/>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08F"/>
    <w:rsid w:val="000135EE"/>
    <w:rsid w:val="001A1E9C"/>
    <w:rsid w:val="001A490C"/>
    <w:rsid w:val="0027008F"/>
    <w:rsid w:val="00434479"/>
    <w:rsid w:val="00683823"/>
    <w:rsid w:val="0088440F"/>
    <w:rsid w:val="00A21C03"/>
    <w:rsid w:val="00CB2B70"/>
    <w:rsid w:val="00CD6231"/>
    <w:rsid w:val="00DF3179"/>
    <w:rsid w:val="00E5477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060D21-B3F0-430C-9B55-28D91F58C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0135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link w:val="Nagwek2Znak"/>
    <w:uiPriority w:val="9"/>
    <w:qFormat/>
    <w:rsid w:val="00434479"/>
    <w:pPr>
      <w:spacing w:before="100" w:beforeAutospacing="1" w:after="100" w:afterAutospacing="1" w:line="240" w:lineRule="auto"/>
      <w:outlineLvl w:val="1"/>
    </w:pPr>
    <w:rPr>
      <w:rFonts w:ascii="Times New Roman" w:eastAsia="Times New Roman" w:hAnsi="Times New Roman" w:cs="Times New Roman"/>
      <w:b/>
      <w:bCs/>
      <w:sz w:val="36"/>
      <w:szCs w:val="36"/>
      <w:lang w:eastAsia="pl-PL"/>
    </w:rPr>
  </w:style>
  <w:style w:type="paragraph" w:styleId="Nagwek3">
    <w:name w:val="heading 3"/>
    <w:basedOn w:val="Normalny"/>
    <w:next w:val="Normalny"/>
    <w:link w:val="Nagwek3Znak"/>
    <w:uiPriority w:val="9"/>
    <w:semiHidden/>
    <w:unhideWhenUsed/>
    <w:qFormat/>
    <w:rsid w:val="001A1E9C"/>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A21C03"/>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27008F"/>
    <w:rPr>
      <w:color w:val="0563C1" w:themeColor="hyperlink"/>
      <w:u w:val="single"/>
    </w:rPr>
  </w:style>
  <w:style w:type="character" w:customStyle="1" w:styleId="Nagwek2Znak">
    <w:name w:val="Nagłówek 2 Znak"/>
    <w:basedOn w:val="Domylnaczcionkaakapitu"/>
    <w:link w:val="Nagwek2"/>
    <w:uiPriority w:val="9"/>
    <w:rsid w:val="00434479"/>
    <w:rPr>
      <w:rFonts w:ascii="Times New Roman" w:eastAsia="Times New Roman" w:hAnsi="Times New Roman" w:cs="Times New Roman"/>
      <w:b/>
      <w:bCs/>
      <w:sz w:val="36"/>
      <w:szCs w:val="36"/>
      <w:lang w:eastAsia="pl-PL"/>
    </w:rPr>
  </w:style>
  <w:style w:type="paragraph" w:customStyle="1" w:styleId="component-text">
    <w:name w:val="component-text"/>
    <w:basedOn w:val="Normalny"/>
    <w:rsid w:val="00434479"/>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3Znak">
    <w:name w:val="Nagłówek 3 Znak"/>
    <w:basedOn w:val="Domylnaczcionkaakapitu"/>
    <w:link w:val="Nagwek3"/>
    <w:uiPriority w:val="9"/>
    <w:semiHidden/>
    <w:rsid w:val="001A1E9C"/>
    <w:rPr>
      <w:rFonts w:asciiTheme="majorHAnsi" w:eastAsiaTheme="majorEastAsia" w:hAnsiTheme="majorHAnsi" w:cstheme="majorBidi"/>
      <w:color w:val="1F4D78" w:themeColor="accent1" w:themeShade="7F"/>
      <w:sz w:val="24"/>
      <w:szCs w:val="24"/>
    </w:rPr>
  </w:style>
  <w:style w:type="character" w:customStyle="1" w:styleId="Nagwek1Znak">
    <w:name w:val="Nagłówek 1 Znak"/>
    <w:basedOn w:val="Domylnaczcionkaakapitu"/>
    <w:link w:val="Nagwek1"/>
    <w:uiPriority w:val="9"/>
    <w:rsid w:val="000135EE"/>
    <w:rPr>
      <w:rFonts w:asciiTheme="majorHAnsi" w:eastAsiaTheme="majorEastAsia" w:hAnsiTheme="majorHAnsi" w:cstheme="majorBidi"/>
      <w:color w:val="2E74B5" w:themeColor="accent1" w:themeShade="BF"/>
      <w:sz w:val="32"/>
      <w:szCs w:val="32"/>
    </w:rPr>
  </w:style>
  <w:style w:type="character" w:customStyle="1" w:styleId="Nagwek4Znak">
    <w:name w:val="Nagłówek 4 Znak"/>
    <w:basedOn w:val="Domylnaczcionkaakapitu"/>
    <w:link w:val="Nagwek4"/>
    <w:uiPriority w:val="9"/>
    <w:semiHidden/>
    <w:rsid w:val="00A21C03"/>
    <w:rPr>
      <w:rFonts w:asciiTheme="majorHAnsi" w:eastAsiaTheme="majorEastAsia" w:hAnsiTheme="majorHAnsi" w:cstheme="majorBidi"/>
      <w:i/>
      <w:iCs/>
      <w:color w:val="2E74B5" w:themeColor="accent1" w:themeShade="BF"/>
    </w:rPr>
  </w:style>
  <w:style w:type="character" w:customStyle="1" w:styleId="articleauthor">
    <w:name w:val="article__author"/>
    <w:basedOn w:val="Domylnaczcionkaakapitu"/>
    <w:rsid w:val="00CD6231"/>
  </w:style>
  <w:style w:type="paragraph" w:styleId="NormalnyWeb">
    <w:name w:val="Normal (Web)"/>
    <w:basedOn w:val="Normalny"/>
    <w:uiPriority w:val="99"/>
    <w:semiHidden/>
    <w:unhideWhenUsed/>
    <w:rsid w:val="00CD623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CD6231"/>
    <w:rPr>
      <w:b/>
      <w:bCs/>
    </w:rPr>
  </w:style>
  <w:style w:type="character" w:styleId="Uwydatnienie">
    <w:name w:val="Emphasis"/>
    <w:basedOn w:val="Domylnaczcionkaakapitu"/>
    <w:uiPriority w:val="20"/>
    <w:qFormat/>
    <w:rsid w:val="00CD623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623368">
      <w:bodyDiv w:val="1"/>
      <w:marLeft w:val="0"/>
      <w:marRight w:val="0"/>
      <w:marTop w:val="0"/>
      <w:marBottom w:val="0"/>
      <w:divBdr>
        <w:top w:val="none" w:sz="0" w:space="0" w:color="auto"/>
        <w:left w:val="none" w:sz="0" w:space="0" w:color="auto"/>
        <w:bottom w:val="none" w:sz="0" w:space="0" w:color="auto"/>
        <w:right w:val="none" w:sz="0" w:space="0" w:color="auto"/>
      </w:divBdr>
      <w:divsChild>
        <w:div w:id="1968706824">
          <w:marLeft w:val="0"/>
          <w:marRight w:val="0"/>
          <w:marTop w:val="0"/>
          <w:marBottom w:val="0"/>
          <w:divBdr>
            <w:top w:val="none" w:sz="0" w:space="0" w:color="auto"/>
            <w:left w:val="none" w:sz="0" w:space="0" w:color="auto"/>
            <w:bottom w:val="none" w:sz="0" w:space="0" w:color="auto"/>
            <w:right w:val="none" w:sz="0" w:space="0" w:color="auto"/>
          </w:divBdr>
          <w:divsChild>
            <w:div w:id="367219155">
              <w:marLeft w:val="0"/>
              <w:marRight w:val="0"/>
              <w:marTop w:val="0"/>
              <w:marBottom w:val="0"/>
              <w:divBdr>
                <w:top w:val="none" w:sz="0" w:space="0" w:color="auto"/>
                <w:left w:val="none" w:sz="0" w:space="0" w:color="auto"/>
                <w:bottom w:val="none" w:sz="0" w:space="0" w:color="auto"/>
                <w:right w:val="none" w:sz="0" w:space="0" w:color="auto"/>
              </w:divBdr>
            </w:div>
            <w:div w:id="414715093">
              <w:marLeft w:val="0"/>
              <w:marRight w:val="0"/>
              <w:marTop w:val="0"/>
              <w:marBottom w:val="0"/>
              <w:divBdr>
                <w:top w:val="none" w:sz="0" w:space="0" w:color="auto"/>
                <w:left w:val="none" w:sz="0" w:space="0" w:color="auto"/>
                <w:bottom w:val="none" w:sz="0" w:space="0" w:color="auto"/>
                <w:right w:val="none" w:sz="0" w:space="0" w:color="auto"/>
              </w:divBdr>
            </w:div>
            <w:div w:id="1468471225">
              <w:marLeft w:val="0"/>
              <w:marRight w:val="0"/>
              <w:marTop w:val="0"/>
              <w:marBottom w:val="0"/>
              <w:divBdr>
                <w:top w:val="none" w:sz="0" w:space="0" w:color="auto"/>
                <w:left w:val="none" w:sz="0" w:space="0" w:color="auto"/>
                <w:bottom w:val="none" w:sz="0" w:space="0" w:color="auto"/>
                <w:right w:val="none" w:sz="0" w:space="0" w:color="auto"/>
              </w:divBdr>
            </w:div>
            <w:div w:id="714235384">
              <w:marLeft w:val="0"/>
              <w:marRight w:val="0"/>
              <w:marTop w:val="0"/>
              <w:marBottom w:val="0"/>
              <w:divBdr>
                <w:top w:val="none" w:sz="0" w:space="0" w:color="auto"/>
                <w:left w:val="none" w:sz="0" w:space="0" w:color="auto"/>
                <w:bottom w:val="none" w:sz="0" w:space="0" w:color="auto"/>
                <w:right w:val="none" w:sz="0" w:space="0" w:color="auto"/>
              </w:divBdr>
            </w:div>
            <w:div w:id="155607468">
              <w:marLeft w:val="0"/>
              <w:marRight w:val="0"/>
              <w:marTop w:val="0"/>
              <w:marBottom w:val="0"/>
              <w:divBdr>
                <w:top w:val="none" w:sz="0" w:space="0" w:color="auto"/>
                <w:left w:val="none" w:sz="0" w:space="0" w:color="auto"/>
                <w:bottom w:val="none" w:sz="0" w:space="0" w:color="auto"/>
                <w:right w:val="none" w:sz="0" w:space="0" w:color="auto"/>
              </w:divBdr>
            </w:div>
            <w:div w:id="506136138">
              <w:marLeft w:val="0"/>
              <w:marRight w:val="0"/>
              <w:marTop w:val="0"/>
              <w:marBottom w:val="0"/>
              <w:divBdr>
                <w:top w:val="none" w:sz="0" w:space="0" w:color="auto"/>
                <w:left w:val="none" w:sz="0" w:space="0" w:color="auto"/>
                <w:bottom w:val="none" w:sz="0" w:space="0" w:color="auto"/>
                <w:right w:val="none" w:sz="0" w:space="0" w:color="auto"/>
              </w:divBdr>
            </w:div>
            <w:div w:id="1592621144">
              <w:marLeft w:val="0"/>
              <w:marRight w:val="0"/>
              <w:marTop w:val="0"/>
              <w:marBottom w:val="0"/>
              <w:divBdr>
                <w:top w:val="none" w:sz="0" w:space="0" w:color="auto"/>
                <w:left w:val="none" w:sz="0" w:space="0" w:color="auto"/>
                <w:bottom w:val="none" w:sz="0" w:space="0" w:color="auto"/>
                <w:right w:val="none" w:sz="0" w:space="0" w:color="auto"/>
              </w:divBdr>
            </w:div>
            <w:div w:id="1896967239">
              <w:marLeft w:val="0"/>
              <w:marRight w:val="0"/>
              <w:marTop w:val="0"/>
              <w:marBottom w:val="0"/>
              <w:divBdr>
                <w:top w:val="none" w:sz="0" w:space="0" w:color="auto"/>
                <w:left w:val="none" w:sz="0" w:space="0" w:color="auto"/>
                <w:bottom w:val="none" w:sz="0" w:space="0" w:color="auto"/>
                <w:right w:val="none" w:sz="0" w:space="0" w:color="auto"/>
              </w:divBdr>
            </w:div>
            <w:div w:id="772286398">
              <w:marLeft w:val="0"/>
              <w:marRight w:val="0"/>
              <w:marTop w:val="0"/>
              <w:marBottom w:val="0"/>
              <w:divBdr>
                <w:top w:val="none" w:sz="0" w:space="0" w:color="auto"/>
                <w:left w:val="none" w:sz="0" w:space="0" w:color="auto"/>
                <w:bottom w:val="none" w:sz="0" w:space="0" w:color="auto"/>
                <w:right w:val="none" w:sz="0" w:space="0" w:color="auto"/>
              </w:divBdr>
              <w:divsChild>
                <w:div w:id="65418645">
                  <w:marLeft w:val="0"/>
                  <w:marRight w:val="0"/>
                  <w:marTop w:val="0"/>
                  <w:marBottom w:val="0"/>
                  <w:divBdr>
                    <w:top w:val="none" w:sz="0" w:space="0" w:color="auto"/>
                    <w:left w:val="none" w:sz="0" w:space="0" w:color="auto"/>
                    <w:bottom w:val="none" w:sz="0" w:space="0" w:color="auto"/>
                    <w:right w:val="none" w:sz="0" w:space="0" w:color="auto"/>
                  </w:divBdr>
                  <w:divsChild>
                    <w:div w:id="2004430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811737">
              <w:marLeft w:val="0"/>
              <w:marRight w:val="0"/>
              <w:marTop w:val="0"/>
              <w:marBottom w:val="0"/>
              <w:divBdr>
                <w:top w:val="none" w:sz="0" w:space="0" w:color="auto"/>
                <w:left w:val="none" w:sz="0" w:space="0" w:color="auto"/>
                <w:bottom w:val="none" w:sz="0" w:space="0" w:color="auto"/>
                <w:right w:val="none" w:sz="0" w:space="0" w:color="auto"/>
              </w:divBdr>
            </w:div>
          </w:divsChild>
        </w:div>
        <w:div w:id="82383852">
          <w:marLeft w:val="0"/>
          <w:marRight w:val="0"/>
          <w:marTop w:val="0"/>
          <w:marBottom w:val="0"/>
          <w:divBdr>
            <w:top w:val="none" w:sz="0" w:space="0" w:color="auto"/>
            <w:left w:val="none" w:sz="0" w:space="0" w:color="auto"/>
            <w:bottom w:val="none" w:sz="0" w:space="0" w:color="auto"/>
            <w:right w:val="none" w:sz="0" w:space="0" w:color="auto"/>
          </w:divBdr>
          <w:divsChild>
            <w:div w:id="707802843">
              <w:marLeft w:val="0"/>
              <w:marRight w:val="0"/>
              <w:marTop w:val="0"/>
              <w:marBottom w:val="0"/>
              <w:divBdr>
                <w:top w:val="none" w:sz="0" w:space="0" w:color="auto"/>
                <w:left w:val="none" w:sz="0" w:space="0" w:color="auto"/>
                <w:bottom w:val="none" w:sz="0" w:space="0" w:color="auto"/>
                <w:right w:val="none" w:sz="0" w:space="0" w:color="auto"/>
              </w:divBdr>
              <w:divsChild>
                <w:div w:id="523204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613408">
          <w:marLeft w:val="0"/>
          <w:marRight w:val="0"/>
          <w:marTop w:val="0"/>
          <w:marBottom w:val="0"/>
          <w:divBdr>
            <w:top w:val="none" w:sz="0" w:space="0" w:color="auto"/>
            <w:left w:val="none" w:sz="0" w:space="0" w:color="auto"/>
            <w:bottom w:val="none" w:sz="0" w:space="0" w:color="auto"/>
            <w:right w:val="none" w:sz="0" w:space="0" w:color="auto"/>
          </w:divBdr>
          <w:divsChild>
            <w:div w:id="428936301">
              <w:marLeft w:val="0"/>
              <w:marRight w:val="0"/>
              <w:marTop w:val="0"/>
              <w:marBottom w:val="0"/>
              <w:divBdr>
                <w:top w:val="none" w:sz="0" w:space="0" w:color="auto"/>
                <w:left w:val="none" w:sz="0" w:space="0" w:color="auto"/>
                <w:bottom w:val="none" w:sz="0" w:space="0" w:color="auto"/>
                <w:right w:val="none" w:sz="0" w:space="0" w:color="auto"/>
              </w:divBdr>
            </w:div>
          </w:divsChild>
        </w:div>
        <w:div w:id="340812836">
          <w:marLeft w:val="0"/>
          <w:marRight w:val="0"/>
          <w:marTop w:val="0"/>
          <w:marBottom w:val="0"/>
          <w:divBdr>
            <w:top w:val="none" w:sz="0" w:space="0" w:color="auto"/>
            <w:left w:val="none" w:sz="0" w:space="0" w:color="auto"/>
            <w:bottom w:val="none" w:sz="0" w:space="0" w:color="auto"/>
            <w:right w:val="none" w:sz="0" w:space="0" w:color="auto"/>
          </w:divBdr>
          <w:divsChild>
            <w:div w:id="1749880166">
              <w:marLeft w:val="0"/>
              <w:marRight w:val="0"/>
              <w:marTop w:val="0"/>
              <w:marBottom w:val="0"/>
              <w:divBdr>
                <w:top w:val="none" w:sz="0" w:space="0" w:color="auto"/>
                <w:left w:val="none" w:sz="0" w:space="0" w:color="auto"/>
                <w:bottom w:val="none" w:sz="0" w:space="0" w:color="auto"/>
                <w:right w:val="none" w:sz="0" w:space="0" w:color="auto"/>
              </w:divBdr>
              <w:divsChild>
                <w:div w:id="707409609">
                  <w:marLeft w:val="0"/>
                  <w:marRight w:val="0"/>
                  <w:marTop w:val="0"/>
                  <w:marBottom w:val="0"/>
                  <w:divBdr>
                    <w:top w:val="none" w:sz="0" w:space="0" w:color="auto"/>
                    <w:left w:val="none" w:sz="0" w:space="0" w:color="auto"/>
                    <w:bottom w:val="none" w:sz="0" w:space="0" w:color="auto"/>
                    <w:right w:val="none" w:sz="0" w:space="0" w:color="auto"/>
                  </w:divBdr>
                  <w:divsChild>
                    <w:div w:id="151217301">
                      <w:marLeft w:val="0"/>
                      <w:marRight w:val="0"/>
                      <w:marTop w:val="0"/>
                      <w:marBottom w:val="0"/>
                      <w:divBdr>
                        <w:top w:val="none" w:sz="0" w:space="0" w:color="auto"/>
                        <w:left w:val="none" w:sz="0" w:space="0" w:color="auto"/>
                        <w:bottom w:val="none" w:sz="0" w:space="0" w:color="auto"/>
                        <w:right w:val="none" w:sz="0" w:space="0" w:color="auto"/>
                      </w:divBdr>
                    </w:div>
                    <w:div w:id="1023440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675558">
          <w:marLeft w:val="0"/>
          <w:marRight w:val="0"/>
          <w:marTop w:val="0"/>
          <w:marBottom w:val="0"/>
          <w:divBdr>
            <w:top w:val="none" w:sz="0" w:space="0" w:color="auto"/>
            <w:left w:val="none" w:sz="0" w:space="0" w:color="auto"/>
            <w:bottom w:val="none" w:sz="0" w:space="0" w:color="auto"/>
            <w:right w:val="none" w:sz="0" w:space="0" w:color="auto"/>
          </w:divBdr>
          <w:divsChild>
            <w:div w:id="2088915737">
              <w:marLeft w:val="0"/>
              <w:marRight w:val="0"/>
              <w:marTop w:val="0"/>
              <w:marBottom w:val="0"/>
              <w:divBdr>
                <w:top w:val="none" w:sz="0" w:space="0" w:color="auto"/>
                <w:left w:val="none" w:sz="0" w:space="0" w:color="auto"/>
                <w:bottom w:val="none" w:sz="0" w:space="0" w:color="auto"/>
                <w:right w:val="none" w:sz="0" w:space="0" w:color="auto"/>
              </w:divBdr>
              <w:divsChild>
                <w:div w:id="1631590804">
                  <w:marLeft w:val="0"/>
                  <w:marRight w:val="0"/>
                  <w:marTop w:val="0"/>
                  <w:marBottom w:val="0"/>
                  <w:divBdr>
                    <w:top w:val="none" w:sz="0" w:space="0" w:color="auto"/>
                    <w:left w:val="none" w:sz="0" w:space="0" w:color="auto"/>
                    <w:bottom w:val="none" w:sz="0" w:space="0" w:color="auto"/>
                    <w:right w:val="none" w:sz="0" w:space="0" w:color="auto"/>
                  </w:divBdr>
                </w:div>
                <w:div w:id="1392120243">
                  <w:marLeft w:val="0"/>
                  <w:marRight w:val="0"/>
                  <w:marTop w:val="0"/>
                  <w:marBottom w:val="0"/>
                  <w:divBdr>
                    <w:top w:val="none" w:sz="0" w:space="0" w:color="auto"/>
                    <w:left w:val="none" w:sz="0" w:space="0" w:color="auto"/>
                    <w:bottom w:val="none" w:sz="0" w:space="0" w:color="auto"/>
                    <w:right w:val="none" w:sz="0" w:space="0" w:color="auto"/>
                  </w:divBdr>
                </w:div>
              </w:divsChild>
            </w:div>
            <w:div w:id="964970238">
              <w:marLeft w:val="0"/>
              <w:marRight w:val="0"/>
              <w:marTop w:val="0"/>
              <w:marBottom w:val="0"/>
              <w:divBdr>
                <w:top w:val="none" w:sz="0" w:space="0" w:color="auto"/>
                <w:left w:val="none" w:sz="0" w:space="0" w:color="auto"/>
                <w:bottom w:val="none" w:sz="0" w:space="0" w:color="auto"/>
                <w:right w:val="none" w:sz="0" w:space="0" w:color="auto"/>
              </w:divBdr>
              <w:divsChild>
                <w:div w:id="1057431179">
                  <w:marLeft w:val="0"/>
                  <w:marRight w:val="0"/>
                  <w:marTop w:val="0"/>
                  <w:marBottom w:val="0"/>
                  <w:divBdr>
                    <w:top w:val="none" w:sz="0" w:space="0" w:color="auto"/>
                    <w:left w:val="none" w:sz="0" w:space="0" w:color="auto"/>
                    <w:bottom w:val="none" w:sz="0" w:space="0" w:color="auto"/>
                    <w:right w:val="none" w:sz="0" w:space="0" w:color="auto"/>
                  </w:divBdr>
                </w:div>
                <w:div w:id="1550189997">
                  <w:marLeft w:val="0"/>
                  <w:marRight w:val="0"/>
                  <w:marTop w:val="0"/>
                  <w:marBottom w:val="0"/>
                  <w:divBdr>
                    <w:top w:val="none" w:sz="0" w:space="0" w:color="auto"/>
                    <w:left w:val="none" w:sz="0" w:space="0" w:color="auto"/>
                    <w:bottom w:val="none" w:sz="0" w:space="0" w:color="auto"/>
                    <w:right w:val="none" w:sz="0" w:space="0" w:color="auto"/>
                  </w:divBdr>
                </w:div>
              </w:divsChild>
            </w:div>
            <w:div w:id="1785611234">
              <w:marLeft w:val="0"/>
              <w:marRight w:val="0"/>
              <w:marTop w:val="0"/>
              <w:marBottom w:val="0"/>
              <w:divBdr>
                <w:top w:val="none" w:sz="0" w:space="0" w:color="auto"/>
                <w:left w:val="none" w:sz="0" w:space="0" w:color="auto"/>
                <w:bottom w:val="none" w:sz="0" w:space="0" w:color="auto"/>
                <w:right w:val="none" w:sz="0" w:space="0" w:color="auto"/>
              </w:divBdr>
              <w:divsChild>
                <w:div w:id="1766733127">
                  <w:marLeft w:val="0"/>
                  <w:marRight w:val="0"/>
                  <w:marTop w:val="0"/>
                  <w:marBottom w:val="0"/>
                  <w:divBdr>
                    <w:top w:val="none" w:sz="0" w:space="0" w:color="auto"/>
                    <w:left w:val="none" w:sz="0" w:space="0" w:color="auto"/>
                    <w:bottom w:val="none" w:sz="0" w:space="0" w:color="auto"/>
                    <w:right w:val="none" w:sz="0" w:space="0" w:color="auto"/>
                  </w:divBdr>
                </w:div>
                <w:div w:id="2016684835">
                  <w:marLeft w:val="0"/>
                  <w:marRight w:val="0"/>
                  <w:marTop w:val="0"/>
                  <w:marBottom w:val="0"/>
                  <w:divBdr>
                    <w:top w:val="none" w:sz="0" w:space="0" w:color="auto"/>
                    <w:left w:val="none" w:sz="0" w:space="0" w:color="auto"/>
                    <w:bottom w:val="none" w:sz="0" w:space="0" w:color="auto"/>
                    <w:right w:val="none" w:sz="0" w:space="0" w:color="auto"/>
                  </w:divBdr>
                </w:div>
              </w:divsChild>
            </w:div>
            <w:div w:id="458718718">
              <w:marLeft w:val="0"/>
              <w:marRight w:val="0"/>
              <w:marTop w:val="0"/>
              <w:marBottom w:val="0"/>
              <w:divBdr>
                <w:top w:val="none" w:sz="0" w:space="0" w:color="auto"/>
                <w:left w:val="none" w:sz="0" w:space="0" w:color="auto"/>
                <w:bottom w:val="none" w:sz="0" w:space="0" w:color="auto"/>
                <w:right w:val="none" w:sz="0" w:space="0" w:color="auto"/>
              </w:divBdr>
              <w:divsChild>
                <w:div w:id="1078862952">
                  <w:marLeft w:val="0"/>
                  <w:marRight w:val="0"/>
                  <w:marTop w:val="0"/>
                  <w:marBottom w:val="0"/>
                  <w:divBdr>
                    <w:top w:val="none" w:sz="0" w:space="0" w:color="auto"/>
                    <w:left w:val="none" w:sz="0" w:space="0" w:color="auto"/>
                    <w:bottom w:val="none" w:sz="0" w:space="0" w:color="auto"/>
                    <w:right w:val="none" w:sz="0" w:space="0" w:color="auto"/>
                  </w:divBdr>
                </w:div>
                <w:div w:id="1219247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818355">
      <w:bodyDiv w:val="1"/>
      <w:marLeft w:val="0"/>
      <w:marRight w:val="0"/>
      <w:marTop w:val="0"/>
      <w:marBottom w:val="0"/>
      <w:divBdr>
        <w:top w:val="none" w:sz="0" w:space="0" w:color="auto"/>
        <w:left w:val="none" w:sz="0" w:space="0" w:color="auto"/>
        <w:bottom w:val="none" w:sz="0" w:space="0" w:color="auto"/>
        <w:right w:val="none" w:sz="0" w:space="0" w:color="auto"/>
      </w:divBdr>
    </w:div>
    <w:div w:id="775562156">
      <w:bodyDiv w:val="1"/>
      <w:marLeft w:val="0"/>
      <w:marRight w:val="0"/>
      <w:marTop w:val="0"/>
      <w:marBottom w:val="0"/>
      <w:divBdr>
        <w:top w:val="none" w:sz="0" w:space="0" w:color="auto"/>
        <w:left w:val="none" w:sz="0" w:space="0" w:color="auto"/>
        <w:bottom w:val="none" w:sz="0" w:space="0" w:color="auto"/>
        <w:right w:val="none" w:sz="0" w:space="0" w:color="auto"/>
      </w:divBdr>
      <w:divsChild>
        <w:div w:id="1505166330">
          <w:marLeft w:val="0"/>
          <w:marRight w:val="0"/>
          <w:marTop w:val="0"/>
          <w:marBottom w:val="0"/>
          <w:divBdr>
            <w:top w:val="none" w:sz="0" w:space="0" w:color="auto"/>
            <w:left w:val="none" w:sz="0" w:space="0" w:color="auto"/>
            <w:bottom w:val="none" w:sz="0" w:space="0" w:color="auto"/>
            <w:right w:val="none" w:sz="0" w:space="0" w:color="auto"/>
          </w:divBdr>
          <w:divsChild>
            <w:div w:id="251859928">
              <w:marLeft w:val="0"/>
              <w:marRight w:val="0"/>
              <w:marTop w:val="0"/>
              <w:marBottom w:val="0"/>
              <w:divBdr>
                <w:top w:val="none" w:sz="0" w:space="0" w:color="auto"/>
                <w:left w:val="none" w:sz="0" w:space="0" w:color="auto"/>
                <w:bottom w:val="none" w:sz="0" w:space="0" w:color="auto"/>
                <w:right w:val="none" w:sz="0" w:space="0" w:color="auto"/>
              </w:divBdr>
            </w:div>
            <w:div w:id="1540967408">
              <w:marLeft w:val="0"/>
              <w:marRight w:val="0"/>
              <w:marTop w:val="0"/>
              <w:marBottom w:val="0"/>
              <w:divBdr>
                <w:top w:val="none" w:sz="0" w:space="0" w:color="auto"/>
                <w:left w:val="none" w:sz="0" w:space="0" w:color="auto"/>
                <w:bottom w:val="none" w:sz="0" w:space="0" w:color="auto"/>
                <w:right w:val="none" w:sz="0" w:space="0" w:color="auto"/>
              </w:divBdr>
            </w:div>
          </w:divsChild>
        </w:div>
        <w:div w:id="1745029328">
          <w:marLeft w:val="0"/>
          <w:marRight w:val="0"/>
          <w:marTop w:val="0"/>
          <w:marBottom w:val="0"/>
          <w:divBdr>
            <w:top w:val="none" w:sz="0" w:space="0" w:color="auto"/>
            <w:left w:val="none" w:sz="0" w:space="0" w:color="auto"/>
            <w:bottom w:val="none" w:sz="0" w:space="0" w:color="auto"/>
            <w:right w:val="none" w:sz="0" w:space="0" w:color="auto"/>
          </w:divBdr>
          <w:divsChild>
            <w:div w:id="1109617040">
              <w:marLeft w:val="0"/>
              <w:marRight w:val="0"/>
              <w:marTop w:val="0"/>
              <w:marBottom w:val="0"/>
              <w:divBdr>
                <w:top w:val="none" w:sz="0" w:space="0" w:color="auto"/>
                <w:left w:val="none" w:sz="0" w:space="0" w:color="auto"/>
                <w:bottom w:val="none" w:sz="0" w:space="0" w:color="auto"/>
                <w:right w:val="none" w:sz="0" w:space="0" w:color="auto"/>
              </w:divBdr>
            </w:div>
            <w:div w:id="1522469388">
              <w:marLeft w:val="0"/>
              <w:marRight w:val="0"/>
              <w:marTop w:val="0"/>
              <w:marBottom w:val="0"/>
              <w:divBdr>
                <w:top w:val="none" w:sz="0" w:space="0" w:color="auto"/>
                <w:left w:val="none" w:sz="0" w:space="0" w:color="auto"/>
                <w:bottom w:val="none" w:sz="0" w:space="0" w:color="auto"/>
                <w:right w:val="none" w:sz="0" w:space="0" w:color="auto"/>
              </w:divBdr>
            </w:div>
          </w:divsChild>
        </w:div>
        <w:div w:id="1649477430">
          <w:marLeft w:val="0"/>
          <w:marRight w:val="0"/>
          <w:marTop w:val="0"/>
          <w:marBottom w:val="0"/>
          <w:divBdr>
            <w:top w:val="none" w:sz="0" w:space="0" w:color="auto"/>
            <w:left w:val="none" w:sz="0" w:space="0" w:color="auto"/>
            <w:bottom w:val="none" w:sz="0" w:space="0" w:color="auto"/>
            <w:right w:val="none" w:sz="0" w:space="0" w:color="auto"/>
          </w:divBdr>
          <w:divsChild>
            <w:div w:id="31467664">
              <w:marLeft w:val="0"/>
              <w:marRight w:val="0"/>
              <w:marTop w:val="0"/>
              <w:marBottom w:val="0"/>
              <w:divBdr>
                <w:top w:val="none" w:sz="0" w:space="0" w:color="auto"/>
                <w:left w:val="none" w:sz="0" w:space="0" w:color="auto"/>
                <w:bottom w:val="none" w:sz="0" w:space="0" w:color="auto"/>
                <w:right w:val="none" w:sz="0" w:space="0" w:color="auto"/>
              </w:divBdr>
            </w:div>
            <w:div w:id="637228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481292">
      <w:bodyDiv w:val="1"/>
      <w:marLeft w:val="0"/>
      <w:marRight w:val="0"/>
      <w:marTop w:val="0"/>
      <w:marBottom w:val="0"/>
      <w:divBdr>
        <w:top w:val="none" w:sz="0" w:space="0" w:color="auto"/>
        <w:left w:val="none" w:sz="0" w:space="0" w:color="auto"/>
        <w:bottom w:val="none" w:sz="0" w:space="0" w:color="auto"/>
        <w:right w:val="none" w:sz="0" w:space="0" w:color="auto"/>
      </w:divBdr>
      <w:divsChild>
        <w:div w:id="703748680">
          <w:marLeft w:val="0"/>
          <w:marRight w:val="0"/>
          <w:marTop w:val="0"/>
          <w:marBottom w:val="0"/>
          <w:divBdr>
            <w:top w:val="none" w:sz="0" w:space="0" w:color="auto"/>
            <w:left w:val="none" w:sz="0" w:space="0" w:color="auto"/>
            <w:bottom w:val="none" w:sz="0" w:space="0" w:color="auto"/>
            <w:right w:val="none" w:sz="0" w:space="0" w:color="auto"/>
          </w:divBdr>
        </w:div>
        <w:div w:id="606279129">
          <w:marLeft w:val="0"/>
          <w:marRight w:val="0"/>
          <w:marTop w:val="0"/>
          <w:marBottom w:val="0"/>
          <w:divBdr>
            <w:top w:val="none" w:sz="0" w:space="0" w:color="auto"/>
            <w:left w:val="none" w:sz="0" w:space="0" w:color="auto"/>
            <w:bottom w:val="none" w:sz="0" w:space="0" w:color="auto"/>
            <w:right w:val="none" w:sz="0" w:space="0" w:color="auto"/>
          </w:divBdr>
        </w:div>
      </w:divsChild>
    </w:div>
    <w:div w:id="1150903505">
      <w:bodyDiv w:val="1"/>
      <w:marLeft w:val="0"/>
      <w:marRight w:val="0"/>
      <w:marTop w:val="0"/>
      <w:marBottom w:val="0"/>
      <w:divBdr>
        <w:top w:val="none" w:sz="0" w:space="0" w:color="auto"/>
        <w:left w:val="none" w:sz="0" w:space="0" w:color="auto"/>
        <w:bottom w:val="none" w:sz="0" w:space="0" w:color="auto"/>
        <w:right w:val="none" w:sz="0" w:space="0" w:color="auto"/>
      </w:divBdr>
      <w:divsChild>
        <w:div w:id="485705465">
          <w:marLeft w:val="0"/>
          <w:marRight w:val="0"/>
          <w:marTop w:val="0"/>
          <w:marBottom w:val="0"/>
          <w:divBdr>
            <w:top w:val="none" w:sz="0" w:space="0" w:color="auto"/>
            <w:left w:val="none" w:sz="0" w:space="0" w:color="auto"/>
            <w:bottom w:val="none" w:sz="0" w:space="0" w:color="auto"/>
            <w:right w:val="none" w:sz="0" w:space="0" w:color="auto"/>
          </w:divBdr>
        </w:div>
        <w:div w:id="17887694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hop.elsevier.com/books/japanese-financial-markets/ujiie/978-1-85573-596-5" TargetMode="External"/><Relationship Id="rId18" Type="http://schemas.openxmlformats.org/officeDocument/2006/relationships/image" Target="media/image1.png"/><Relationship Id="rId26" Type="http://schemas.openxmlformats.org/officeDocument/2006/relationships/image" Target="media/image5.png"/><Relationship Id="rId39" Type="http://schemas.openxmlformats.org/officeDocument/2006/relationships/image" Target="media/image11.png"/><Relationship Id="rId21" Type="http://schemas.openxmlformats.org/officeDocument/2006/relationships/image" Target="media/image3.png"/><Relationship Id="rId34" Type="http://schemas.openxmlformats.org/officeDocument/2006/relationships/image" Target="media/image10.jpeg"/><Relationship Id="rId42" Type="http://schemas.openxmlformats.org/officeDocument/2006/relationships/image" Target="media/image12.png"/><Relationship Id="rId47" Type="http://schemas.openxmlformats.org/officeDocument/2006/relationships/hyperlink" Target="https://admiralmarkets.com/pl/education/articles/forex-basics/cfd-definicja" TargetMode="External"/><Relationship Id="rId50" Type="http://schemas.openxmlformats.org/officeDocument/2006/relationships/hyperlink" Target="https://admiralmarkets.com/pl/education/articles/trading-instruments/ftse-trading" TargetMode="External"/><Relationship Id="rId55" Type="http://schemas.openxmlformats.org/officeDocument/2006/relationships/hyperlink" Target="https://admiralmarkets.com/pl/risk-disclosure" TargetMode="External"/><Relationship Id="rId7" Type="http://schemas.openxmlformats.org/officeDocument/2006/relationships/hyperlink" Target="https://www.jpx.co.jp/english/corporate/news/news-releases/index.html" TargetMode="External"/><Relationship Id="rId2" Type="http://schemas.openxmlformats.org/officeDocument/2006/relationships/styles" Target="styles.xml"/><Relationship Id="rId16" Type="http://schemas.openxmlformats.org/officeDocument/2006/relationships/hyperlink" Target="https://admiralmarkets.com/pl/education/articles/shares/akcje-rynku-japonskiego" TargetMode="External"/><Relationship Id="rId29" Type="http://schemas.openxmlformats.org/officeDocument/2006/relationships/hyperlink" Target="https://admiralmarkets.com/pl/start-trading/contract-specifications" TargetMode="External"/><Relationship Id="rId11" Type="http://schemas.openxmlformats.org/officeDocument/2006/relationships/hyperlink" Target="https://www.jpx.co.jp/english/corporate/about-jpx/profile/01.htm" TargetMode="External"/><Relationship Id="rId24" Type="http://schemas.openxmlformats.org/officeDocument/2006/relationships/hyperlink" Target="https://www.jpx.co.jp/english/markets/statistics-equities/monthly/b5b4pj000003k4fd-att/04_jikaso2006.pdf" TargetMode="External"/><Relationship Id="rId32" Type="http://schemas.openxmlformats.org/officeDocument/2006/relationships/image" Target="media/image9.png"/><Relationship Id="rId37" Type="http://schemas.openxmlformats.org/officeDocument/2006/relationships/hyperlink" Target="https://admiralmarkets.com/pl/education/articles/forex-analysis/wprowadzenie-do-analizy-technicznej-na-forex" TargetMode="External"/><Relationship Id="rId40" Type="http://schemas.openxmlformats.org/officeDocument/2006/relationships/hyperlink" Target="https://admiralmarkets.com/pl/start-trading/trading-calculator" TargetMode="External"/><Relationship Id="rId45" Type="http://schemas.openxmlformats.org/officeDocument/2006/relationships/image" Target="media/image14.png"/><Relationship Id="rId53" Type="http://schemas.openxmlformats.org/officeDocument/2006/relationships/hyperlink" Target="https://admiralmarkets.com/pl/education/articles/etfs" TargetMode="External"/><Relationship Id="rId5" Type="http://schemas.openxmlformats.org/officeDocument/2006/relationships/hyperlink" Target="https://topforeignstocks.com/foreign-adrs-list/the-full-list-of-japanese-adrs/" TargetMode="External"/><Relationship Id="rId19"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s://en.wikipedia.org/wiki/Japan_Exchange_Group" TargetMode="External"/><Relationship Id="rId14" Type="http://schemas.openxmlformats.org/officeDocument/2006/relationships/hyperlink" Target="https://pl.investing.com/markets/japan" TargetMode="External"/><Relationship Id="rId22" Type="http://schemas.openxmlformats.org/officeDocument/2006/relationships/hyperlink" Target="https://www.statista.com/statistics/270126/largest-stock-exchange-operators-by-market-capitalization-of-listed-companies/" TargetMode="External"/><Relationship Id="rId27" Type="http://schemas.openxmlformats.org/officeDocument/2006/relationships/image" Target="media/image6.jpeg"/><Relationship Id="rId30" Type="http://schemas.openxmlformats.org/officeDocument/2006/relationships/image" Target="media/image8.jpeg"/><Relationship Id="rId35" Type="http://schemas.openxmlformats.org/officeDocument/2006/relationships/hyperlink" Target="https://admiralmarkets.com/pl/trading-platforms/metatrader-5" TargetMode="External"/><Relationship Id="rId43" Type="http://schemas.openxmlformats.org/officeDocument/2006/relationships/image" Target="media/image13.png"/><Relationship Id="rId48" Type="http://schemas.openxmlformats.org/officeDocument/2006/relationships/hyperlink" Target="https://admiralmarkets.com/pl/start-trading/forex-demo" TargetMode="External"/><Relationship Id="rId56" Type="http://schemas.openxmlformats.org/officeDocument/2006/relationships/fontTable" Target="fontTable.xml"/><Relationship Id="rId8" Type="http://schemas.openxmlformats.org/officeDocument/2006/relationships/hyperlink" Target="https://en.wikipedia.org/wiki/List_of_major_stock_exchanges" TargetMode="External"/><Relationship Id="rId51" Type="http://schemas.openxmlformats.org/officeDocument/2006/relationships/hyperlink" Target="https://admiralmarkets.com/pl/education/articles/trading-instruments/kryzys-finansowy-inwestowanie" TargetMode="External"/><Relationship Id="rId3" Type="http://schemas.openxmlformats.org/officeDocument/2006/relationships/settings" Target="settings.xml"/><Relationship Id="rId12" Type="http://schemas.openxmlformats.org/officeDocument/2006/relationships/hyperlink" Target="https://www.jpx.co.jp/english/equities/trading/domestic/index.html" TargetMode="External"/><Relationship Id="rId17" Type="http://schemas.openxmlformats.org/officeDocument/2006/relationships/hyperlink" Target="https://admiralmarkets.com/pl" TargetMode="External"/><Relationship Id="rId25" Type="http://schemas.openxmlformats.org/officeDocument/2006/relationships/hyperlink" Target="https://admiralmarkets.com/pl/trading-platforms/metatrader-5" TargetMode="External"/><Relationship Id="rId33" Type="http://schemas.openxmlformats.org/officeDocument/2006/relationships/hyperlink" Target="https://pl.wikipedia.org/wiki/Bank_Japonii" TargetMode="External"/><Relationship Id="rId38" Type="http://schemas.openxmlformats.org/officeDocument/2006/relationships/hyperlink" Target="https://admiralmarkets.com/pl/trading-platforms/metatrader-se" TargetMode="External"/><Relationship Id="rId46" Type="http://schemas.openxmlformats.org/officeDocument/2006/relationships/hyperlink" Target="https://admiralmarkets.com/pl/start-trading/documents/negative-account-balance-protection-policy" TargetMode="External"/><Relationship Id="rId20" Type="http://schemas.openxmlformats.org/officeDocument/2006/relationships/hyperlink" Target="https://admiralmarkets.com/pl/education/articles/shares/inwestowanie-na-gieldzie-amerykanskiej" TargetMode="External"/><Relationship Id="rId41" Type="http://schemas.openxmlformats.org/officeDocument/2006/relationships/hyperlink" Target="https://admiralmarkets.com/pl/trading-platforms/metatrader-se/tradingcentral" TargetMode="External"/><Relationship Id="rId54" Type="http://schemas.openxmlformats.org/officeDocument/2006/relationships/hyperlink" Target="https://admiralmarkets.com/pl/start-trading" TargetMode="External"/><Relationship Id="rId1" Type="http://schemas.openxmlformats.org/officeDocument/2006/relationships/numbering" Target="numbering.xml"/><Relationship Id="rId6" Type="http://schemas.openxmlformats.org/officeDocument/2006/relationships/hyperlink" Target="https://www.jpx.co.jp/english/corporate/index.html" TargetMode="External"/><Relationship Id="rId15" Type="http://schemas.openxmlformats.org/officeDocument/2006/relationships/hyperlink" Target="https://pl.tradingview.com/markets/japan/" TargetMode="External"/><Relationship Id="rId23" Type="http://schemas.openxmlformats.org/officeDocument/2006/relationships/image" Target="media/image4.jpeg"/><Relationship Id="rId28" Type="http://schemas.openxmlformats.org/officeDocument/2006/relationships/image" Target="media/image7.jpeg"/><Relationship Id="rId36" Type="http://schemas.openxmlformats.org/officeDocument/2006/relationships/hyperlink" Target="https://admiralmarkets.com/pl/education/articles/market-statistics/skutecznosc-analizy-fundamentalnej" TargetMode="External"/><Relationship Id="rId49" Type="http://schemas.openxmlformats.org/officeDocument/2006/relationships/image" Target="media/image15.png"/><Relationship Id="rId57" Type="http://schemas.openxmlformats.org/officeDocument/2006/relationships/theme" Target="theme/theme1.xml"/><Relationship Id="rId10" Type="http://schemas.openxmlformats.org/officeDocument/2006/relationships/hyperlink" Target="https://en.wikipedia.org/wiki/Tokyo_Stock_Exchange" TargetMode="External"/><Relationship Id="rId31" Type="http://schemas.openxmlformats.org/officeDocument/2006/relationships/hyperlink" Target="https://admiralmarkets.com/pl/start-trading/admiral-invest-stocks-and-etfs" TargetMode="External"/><Relationship Id="rId44" Type="http://schemas.openxmlformats.org/officeDocument/2006/relationships/hyperlink" Target="https://admiralmarkets.com/pl/education/articles/forex-indicators/wskazniki-forex-ktore-kazdy-powinien-znac" TargetMode="External"/><Relationship Id="rId52" Type="http://schemas.openxmlformats.org/officeDocument/2006/relationships/hyperlink" Target="https://admiralmarkets.com/pl/education/articles/forex-strategy/hedging"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20</Pages>
  <Words>3907</Words>
  <Characters>23443</Characters>
  <Application>Microsoft Office Word</Application>
  <DocSecurity>0</DocSecurity>
  <Lines>195</Lines>
  <Paragraphs>54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Konto Microsoft</dc:creator>
  <cp:keywords/>
  <dc:description/>
  <cp:lastModifiedBy>Konto Microsoft</cp:lastModifiedBy>
  <cp:revision>6</cp:revision>
  <dcterms:created xsi:type="dcterms:W3CDTF">2025-01-06T11:54:00Z</dcterms:created>
  <dcterms:modified xsi:type="dcterms:W3CDTF">2025-01-06T13:07:00Z</dcterms:modified>
</cp:coreProperties>
</file>