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2EE" w:rsidRDefault="001222EE" w:rsidP="001222EE"/>
    <w:p w:rsidR="001222EE" w:rsidRDefault="001222EE" w:rsidP="001222EE">
      <w:r>
        <w:t>Giełda japońska</w:t>
      </w:r>
      <w:bookmarkStart w:id="0" w:name="_GoBack"/>
      <w:bookmarkEnd w:id="0"/>
    </w:p>
    <w:p w:rsidR="001222EE" w:rsidRDefault="001222EE" w:rsidP="001222EE">
      <w:hyperlink r:id="rId5" w:history="1">
        <w:r w:rsidRPr="001E641F">
          <w:rPr>
            <w:rStyle w:val="Hipercze"/>
          </w:rPr>
          <w:t>https://admiralmarkets.com/pl/education/articles/shares/akcje-rynku-japonskiego</w:t>
        </w:r>
      </w:hyperlink>
    </w:p>
    <w:p w:rsidR="001222EE" w:rsidRDefault="001222EE" w:rsidP="001222EE">
      <w:r>
        <w:rPr>
          <w:noProof/>
          <w:color w:val="0000FF"/>
          <w:lang w:eastAsia="pl-PL"/>
        </w:rPr>
        <w:drawing>
          <wp:inline distT="0" distB="0" distL="0" distR="0" wp14:anchorId="7B6C2BDB" wp14:editId="7FDB5E2D">
            <wp:extent cx="647700" cy="647700"/>
            <wp:effectExtent l="0" t="0" r="0" b="0"/>
            <wp:docPr id="29" name="Obraz 29" descr="Admirals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Admirals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r>
        <w:t xml:space="preserve">Jan 15, 2024 </w:t>
      </w:r>
    </w:p>
    <w:p w:rsidR="001222EE" w:rsidRDefault="001222EE" w:rsidP="001222EE">
      <w:pPr>
        <w:pStyle w:val="NormalnyWeb"/>
        <w:jc w:val="both"/>
      </w:pPr>
      <w:r>
        <w:t>Czy wiesz, że giełda w Tokio jest trzecim co do wielkości rynkiem akcji na świecie? Do najbardziej znanych spółek notowanych na japońskiej giełdzie (</w:t>
      </w:r>
      <w:proofErr w:type="spellStart"/>
      <w:r>
        <w:rPr>
          <w:rStyle w:val="Pogrubienie"/>
        </w:rPr>
        <w:t>Tokyo</w:t>
      </w:r>
      <w:proofErr w:type="spellEnd"/>
      <w:r>
        <w:rPr>
          <w:rStyle w:val="Pogrubienie"/>
        </w:rPr>
        <w:t xml:space="preserve"> Stock Exchange</w:t>
      </w:r>
      <w:r>
        <w:t xml:space="preserve">) należą między innymi: Toyota, Sony i Panasonic. Bez względu na to, gdzie się znajdujesz, możliwość inwestowania w </w:t>
      </w:r>
      <w:r>
        <w:rPr>
          <w:rStyle w:val="Pogrubienie"/>
        </w:rPr>
        <w:t>akcje rynku japońskiego</w:t>
      </w:r>
      <w:r>
        <w:t xml:space="preserve"> nigdy nie było prostsze, a potencjalne okazje do handlu, jakie mogą one zapewnić, nie powinny być dłużej ignorowane.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lastRenderedPageBreak/>
        <w:drawing>
          <wp:inline distT="0" distB="0" distL="0" distR="0" wp14:anchorId="1DB8DAA9" wp14:editId="57A9580A">
            <wp:extent cx="13716000" cy="7715250"/>
            <wp:effectExtent l="0" t="0" r="0" b="0"/>
            <wp:docPr id="26" name="Obraz 26" descr="gielda japo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gielda japoni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0" cy="771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t>W artykule omówimy:</w:t>
      </w:r>
    </w:p>
    <w:p w:rsidR="001222EE" w:rsidRDefault="001222EE" w:rsidP="001222EE">
      <w:pPr>
        <w:pStyle w:val="NormalnyWeb"/>
        <w:ind w:left="300"/>
        <w:jc w:val="both"/>
      </w:pPr>
      <w:r>
        <w:rPr>
          <w:rFonts w:ascii="Segoe UI Symbol" w:hAnsi="Segoe UI Symbol" w:cs="Segoe UI Symbol"/>
        </w:rPr>
        <w:t>✔</w:t>
      </w:r>
      <w:r>
        <w:t xml:space="preserve"> Powody, dla których japońskie akcje są najbardziej pożądane przez inwestorów oraz dlaczego Bank Japonii również dokonuje pośredniego ich nabycia.</w:t>
      </w:r>
    </w:p>
    <w:p w:rsidR="001222EE" w:rsidRDefault="001222EE" w:rsidP="001222EE">
      <w:pPr>
        <w:pStyle w:val="NormalnyWeb"/>
        <w:ind w:left="300"/>
        <w:jc w:val="both"/>
      </w:pPr>
      <w:r>
        <w:rPr>
          <w:rFonts w:ascii="Segoe UI Symbol" w:hAnsi="Segoe UI Symbol" w:cs="Segoe UI Symbol"/>
        </w:rPr>
        <w:lastRenderedPageBreak/>
        <w:t>✔</w:t>
      </w:r>
      <w:r>
        <w:t xml:space="preserve"> W jakim celu </w:t>
      </w:r>
      <w:proofErr w:type="spellStart"/>
      <w:r>
        <w:t>Traderzy</w:t>
      </w:r>
      <w:proofErr w:type="spellEnd"/>
      <w:r>
        <w:t xml:space="preserve"> korzystają z CFD (kontrakty różnicy kursowej), aby handlować długimi i krótkimi pozycjami na akcje japońskie i inne.</w:t>
      </w:r>
    </w:p>
    <w:p w:rsidR="001222EE" w:rsidRDefault="001222EE" w:rsidP="001222EE">
      <w:pPr>
        <w:pStyle w:val="NormalnyWeb"/>
        <w:ind w:left="300"/>
        <w:jc w:val="both"/>
      </w:pPr>
      <w:r>
        <w:rPr>
          <w:rFonts w:ascii="Segoe UI Symbol" w:hAnsi="Segoe UI Symbol" w:cs="Segoe UI Symbol"/>
        </w:rPr>
        <w:t>✔</w:t>
      </w:r>
      <w:r>
        <w:t xml:space="preserve"> Co wpływa na ceny japońskich akcji.</w:t>
      </w:r>
    </w:p>
    <w:p w:rsidR="001222EE" w:rsidRDefault="001222EE" w:rsidP="001222EE">
      <w:pPr>
        <w:pStyle w:val="NormalnyWeb"/>
        <w:ind w:left="300"/>
        <w:jc w:val="both"/>
      </w:pPr>
      <w:r>
        <w:rPr>
          <w:rFonts w:ascii="Segoe UI Symbol" w:hAnsi="Segoe UI Symbol" w:cs="Segoe UI Symbol"/>
        </w:rPr>
        <w:t>✔</w:t>
      </w:r>
      <w:r>
        <w:t xml:space="preserve"> Najlepszą platformę inwestycyjną do przeglądania aktualnych notowań światowych giełd, w tym </w:t>
      </w:r>
      <w:proofErr w:type="spellStart"/>
      <w:r>
        <w:t>Tokyo</w:t>
      </w:r>
      <w:proofErr w:type="spellEnd"/>
      <w:r>
        <w:t xml:space="preserve"> Stock Exchange.</w:t>
      </w:r>
    </w:p>
    <w:p w:rsidR="001222EE" w:rsidRDefault="001222EE" w:rsidP="001222EE">
      <w:pPr>
        <w:pStyle w:val="NormalnyWeb"/>
        <w:ind w:left="300"/>
        <w:jc w:val="both"/>
      </w:pPr>
      <w:r>
        <w:rPr>
          <w:rFonts w:ascii="Segoe UI Symbol" w:hAnsi="Segoe UI Symbol" w:cs="Segoe UI Symbol"/>
        </w:rPr>
        <w:t>✔</w:t>
      </w:r>
      <w:r>
        <w:t xml:space="preserve"> Jak korzystać z BEZPŁATNEGO wskaźnika Trading Central Technical </w:t>
      </w:r>
      <w:proofErr w:type="spellStart"/>
      <w:r>
        <w:t>Insight</w:t>
      </w:r>
      <w:proofErr w:type="spellEnd"/>
      <w:r>
        <w:t xml:space="preserve"> dostarczonego przez </w:t>
      </w:r>
      <w:proofErr w:type="spellStart"/>
      <w:r>
        <w:t>Admirals</w:t>
      </w:r>
      <w:proofErr w:type="spellEnd"/>
      <w:r>
        <w:t>,, aby wyszukać najlepsze akcje rynku japońskiego.</w:t>
      </w:r>
    </w:p>
    <w:p w:rsidR="001222EE" w:rsidRDefault="001222EE" w:rsidP="001222EE">
      <w:pPr>
        <w:pStyle w:val="NormalnyWeb"/>
        <w:ind w:left="300"/>
        <w:jc w:val="both"/>
      </w:pPr>
      <w:r>
        <w:rPr>
          <w:rFonts w:ascii="Segoe UI Symbol" w:hAnsi="Segoe UI Symbol" w:cs="Segoe UI Symbol"/>
        </w:rPr>
        <w:t>✔</w:t>
      </w:r>
      <w:r>
        <w:t xml:space="preserve"> Jak rozpocząć trading na japońskiej giełdzie za pomocą DARMOWEGO konta demo, które pozwala przećwiczyć swoje umiejętności inwestycyjne w wirtualnym środowisku.</w:t>
      </w:r>
    </w:p>
    <w:p w:rsidR="001222EE" w:rsidRDefault="001222EE" w:rsidP="001222EE">
      <w:pPr>
        <w:pStyle w:val="Nagwek2"/>
        <w:jc w:val="both"/>
      </w:pPr>
      <w:proofErr w:type="spellStart"/>
      <w:r>
        <w:t>Tokyo</w:t>
      </w:r>
      <w:proofErr w:type="spellEnd"/>
      <w:r>
        <w:t xml:space="preserve"> Stock Exchange</w:t>
      </w:r>
    </w:p>
    <w:p w:rsidR="001222EE" w:rsidRDefault="001222EE" w:rsidP="001222EE">
      <w:pPr>
        <w:pStyle w:val="NormalnyWeb"/>
        <w:jc w:val="both"/>
      </w:pPr>
      <w:r>
        <w:t xml:space="preserve">Japońska giełda jest zasadniczo miejscem dokonywania aukcji, gdzie inwestorzy z całego świata mogą kupować i sprzedawać akcje japońskich spółek notowanych na giełdzie. Japoński rynek akcji jest kontrolowany i regulowany przez giełdę tokijską - podobnie jak </w:t>
      </w:r>
      <w:hyperlink r:id="rId9" w:tgtFrame="_blank" w:tooltip="inwestowanie w USA" w:history="1">
        <w:r>
          <w:rPr>
            <w:rStyle w:val="Hipercze"/>
          </w:rPr>
          <w:t>giełda amerykańska</w:t>
        </w:r>
      </w:hyperlink>
      <w:r>
        <w:t>, która umożliwia inwestorom kupno i sprzedaż akcji spółek notowanych na giełdzie w Ameryce.</w:t>
      </w:r>
    </w:p>
    <w:p w:rsidR="001222EE" w:rsidRDefault="001222EE" w:rsidP="001222EE">
      <w:pPr>
        <w:pStyle w:val="NormalnyWeb"/>
        <w:jc w:val="both"/>
      </w:pPr>
      <w:r>
        <w:t xml:space="preserve">Podczas gdy giełdy amerykańskie NYSE i </w:t>
      </w:r>
      <w:proofErr w:type="spellStart"/>
      <w:r>
        <w:t>Nasdaq</w:t>
      </w:r>
      <w:proofErr w:type="spellEnd"/>
      <w:r>
        <w:t xml:space="preserve"> są dwiema największymi na świecie (pod względem kapitalizacji rynkowej notowanych na niej spółek), to trzecią co do wielkości jest giełda w Tokio (TSE). Została ona założona w 1878 roku i należy do grupy giełdowej Japan Exchange </w:t>
      </w:r>
      <w:proofErr w:type="spellStart"/>
      <w:r>
        <w:t>Group</w:t>
      </w:r>
      <w:proofErr w:type="spellEnd"/>
      <w:r>
        <w:t xml:space="preserve">, która powstała w wyniku fuzji Osaka Securities Stock Exchange i </w:t>
      </w:r>
      <w:proofErr w:type="spellStart"/>
      <w:r>
        <w:t>Tokyo</w:t>
      </w:r>
      <w:proofErr w:type="spellEnd"/>
      <w:r>
        <w:t xml:space="preserve"> Stock Exchange w 2013 roku.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lastRenderedPageBreak/>
        <w:drawing>
          <wp:inline distT="0" distB="0" distL="0" distR="0" wp14:anchorId="16A35EE3" wp14:editId="147BE97C">
            <wp:extent cx="5930900" cy="5638800"/>
            <wp:effectExtent l="0" t="0" r="0" b="0"/>
            <wp:docPr id="25" name="Obraz 25" descr="Tokyo Stock Exchange - japoński rynek akcj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Tokyo Stock Exchange - japoński rynek akcji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563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Źródło: </w:t>
      </w:r>
      <w:hyperlink r:id="rId11" w:tgtFrame="_blank" w:history="1">
        <w:proofErr w:type="spellStart"/>
        <w:r>
          <w:rPr>
            <w:rStyle w:val="Hipercze"/>
          </w:rPr>
          <w:t>Statista</w:t>
        </w:r>
        <w:proofErr w:type="spellEnd"/>
      </w:hyperlink>
    </w:p>
    <w:p w:rsidR="001222EE" w:rsidRDefault="001222EE" w:rsidP="001222EE">
      <w:pPr>
        <w:pStyle w:val="NormalnyWeb"/>
        <w:jc w:val="both"/>
      </w:pPr>
      <w:r>
        <w:t xml:space="preserve">Jak widać z powyższej tabeli, Japan Exchange </w:t>
      </w:r>
      <w:proofErr w:type="spellStart"/>
      <w:r>
        <w:t>Group</w:t>
      </w:r>
      <w:proofErr w:type="spellEnd"/>
      <w:r>
        <w:t xml:space="preserve"> prowadzi trzeci co do wielkości rynek akcji na świecie w oparciu o kapitalizację rynkową spółek notowanych na giełdzie. Na dzień 21 lipca 2020 roku na japońskiej giełdzie notowanych było 3 717 spółek. Niektóre z nich to znane światowe marki, takie jak Toyota, Nissan, Sony i Casio.</w:t>
      </w:r>
    </w:p>
    <w:p w:rsidR="001222EE" w:rsidRDefault="001222EE" w:rsidP="001222EE">
      <w:pPr>
        <w:pStyle w:val="NormalnyWeb"/>
        <w:jc w:val="both"/>
      </w:pPr>
      <w:r>
        <w:t xml:space="preserve">Chociaż w większości popularne akcje rynku japońskiego dotyczą sektora motoryzacyjnego i elektronicznego, wyróżnia się wiele innych spółek z różnych branż, takich jak chemiczna, spożywcza i detaliczna. Wskazuje na to miesięczny raport na stronie internetowej grupy giełdowej Japan Exchange </w:t>
      </w:r>
      <w:proofErr w:type="spellStart"/>
      <w:r>
        <w:t>Group</w:t>
      </w:r>
      <w:proofErr w:type="spellEnd"/>
      <w:r>
        <w:t>, w którym wyszczególniono akcje notowane według kapitalizacji rynkowej i sektora przemysłu: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lastRenderedPageBreak/>
        <w:drawing>
          <wp:inline distT="0" distB="0" distL="0" distR="0" wp14:anchorId="70B8E44E" wp14:editId="001B6F43">
            <wp:extent cx="10445750" cy="7423150"/>
            <wp:effectExtent l="0" t="0" r="0" b="6350"/>
            <wp:docPr id="24" name="Obraz 24" descr="japoński rynek akcji lista spół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japoński rynek akcji lista spółek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45750" cy="742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Źródło: </w:t>
      </w:r>
      <w:hyperlink r:id="rId13" w:tgtFrame="_blank" w:history="1">
        <w:r>
          <w:rPr>
            <w:rStyle w:val="Hipercze"/>
          </w:rPr>
          <w:t xml:space="preserve">Japan Exchange </w:t>
        </w:r>
        <w:proofErr w:type="spellStart"/>
        <w:r>
          <w:rPr>
            <w:rStyle w:val="Hipercze"/>
          </w:rPr>
          <w:t>Group</w:t>
        </w:r>
        <w:proofErr w:type="spellEnd"/>
      </w:hyperlink>
    </w:p>
    <w:p w:rsidR="001222EE" w:rsidRDefault="001222EE" w:rsidP="001222EE">
      <w:pPr>
        <w:pStyle w:val="NormalnyWeb"/>
        <w:jc w:val="both"/>
      </w:pPr>
      <w:r>
        <w:t xml:space="preserve">Jeśli chcesz poznać najlepsze akcje rynku japońskiego dostępne do handlu w </w:t>
      </w:r>
      <w:proofErr w:type="spellStart"/>
      <w:r>
        <w:t>Admirals</w:t>
      </w:r>
      <w:proofErr w:type="spellEnd"/>
      <w:r>
        <w:t xml:space="preserve">, pobierz bezpłatną platformę transakcyjną </w:t>
      </w:r>
      <w:proofErr w:type="spellStart"/>
      <w:r>
        <w:t>MetaTrader</w:t>
      </w:r>
      <w:proofErr w:type="spellEnd"/>
      <w:r>
        <w:t xml:space="preserve"> 5 i wykonaj kroki zgodnie z instrukcją podaną w następnej sekcji artykułu. Aby rozpocząć pobieranie, wystarczy kliknąć w poniższy baner:</w:t>
      </w:r>
    </w:p>
    <w:p w:rsidR="001222EE" w:rsidRDefault="001222EE" w:rsidP="001222EE">
      <w:r>
        <w:lastRenderedPageBreak/>
        <w:t xml:space="preserve">Wielozadaniowa </w:t>
      </w:r>
      <w:r>
        <w:br/>
        <w:t>platforma nr 1</w:t>
      </w:r>
    </w:p>
    <w:p w:rsidR="001222EE" w:rsidRDefault="001222EE" w:rsidP="001222EE">
      <w:pPr>
        <w:pStyle w:val="NormalnyWeb"/>
      </w:pPr>
    </w:p>
    <w:p w:rsidR="001222EE" w:rsidRDefault="001222EE" w:rsidP="001222EE">
      <w:hyperlink r:id="rId14" w:tgtFrame="_blank" w:history="1">
        <w:r>
          <w:rPr>
            <w:rStyle w:val="Hipercze"/>
          </w:rPr>
          <w:t>POBIERZ MT5 BEZPŁATNIE</w:t>
        </w:r>
      </w:hyperlink>
    </w:p>
    <w:p w:rsidR="001222EE" w:rsidRDefault="001222EE" w:rsidP="001222EE">
      <w:r>
        <w:rPr>
          <w:noProof/>
          <w:color w:val="0000FF"/>
          <w:lang w:eastAsia="pl-PL"/>
        </w:rPr>
        <w:drawing>
          <wp:inline distT="0" distB="0" distL="0" distR="0" wp14:anchorId="3788189C" wp14:editId="7B24E625">
            <wp:extent cx="1809750" cy="1809750"/>
            <wp:effectExtent l="0" t="0" r="0" b="0"/>
            <wp:docPr id="23" name="Obraz 23" descr="Wielozadaniowa &lt;br/&gt; platforma nr 1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Wielozadaniowa &lt;br/&gt; platforma nr 1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agwek3"/>
      </w:pPr>
      <w:r>
        <w:t>Japońska giełda - jak wyświetlić TOP listę akcji</w:t>
      </w:r>
    </w:p>
    <w:p w:rsidR="001222EE" w:rsidRDefault="001222EE" w:rsidP="001222EE">
      <w:pPr>
        <w:pStyle w:val="NormalnyWeb"/>
        <w:jc w:val="both"/>
      </w:pPr>
      <w:r>
        <w:t xml:space="preserve">Po pobraniu darmowej platformy transakcyjnej </w:t>
      </w:r>
      <w:proofErr w:type="spellStart"/>
      <w:r>
        <w:t>MetaTrader</w:t>
      </w:r>
      <w:proofErr w:type="spellEnd"/>
      <w:r>
        <w:t xml:space="preserve"> 5 udostępnionej przez </w:t>
      </w:r>
      <w:proofErr w:type="spellStart"/>
      <w:r>
        <w:t>Admirals</w:t>
      </w:r>
      <w:proofErr w:type="spellEnd"/>
      <w:r>
        <w:t>, jesteś o krok bliżej do inwestowania w akcje rynku japońskiego. Aby sprawdzić, w jakie akcje japońskiej giełdy możesz zainwestować, wykonaj poniższe kroki:</w:t>
      </w:r>
    </w:p>
    <w:p w:rsidR="001222EE" w:rsidRDefault="001222EE" w:rsidP="001222EE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 xml:space="preserve">Otwórz platformę </w:t>
      </w:r>
      <w:proofErr w:type="spellStart"/>
      <w:r>
        <w:t>MetaTrader</w:t>
      </w:r>
      <w:proofErr w:type="spellEnd"/>
      <w:r>
        <w:t xml:space="preserve"> 5 dostarczoną przez </w:t>
      </w:r>
      <w:proofErr w:type="spellStart"/>
      <w:r>
        <w:t>Admirals</w:t>
      </w:r>
      <w:proofErr w:type="spellEnd"/>
      <w:r>
        <w:t>.</w:t>
      </w:r>
    </w:p>
    <w:p w:rsidR="001222EE" w:rsidRDefault="001222EE" w:rsidP="001222EE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 xml:space="preserve">Przejdź do okna "Rynek", klikając "Widok" w głównym pasku menu lub naciskając </w:t>
      </w:r>
      <w:proofErr w:type="spellStart"/>
      <w:r>
        <w:t>Ctrl+M</w:t>
      </w:r>
      <w:proofErr w:type="spellEnd"/>
      <w:r>
        <w:t xml:space="preserve"> na klawiaturze. Otworzy się lista symboli rynkowych po lewej stronie wykresu.</w:t>
      </w:r>
    </w:p>
    <w:p w:rsidR="001222EE" w:rsidRDefault="001222EE" w:rsidP="001222EE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 xml:space="preserve">Kliknij prawym przyciskiem myszy w oknie "Rynek" i wybierz "Symbole". Alternatywnie, naciśnij </w:t>
      </w:r>
      <w:proofErr w:type="spellStart"/>
      <w:r>
        <w:t>Ctrl+U</w:t>
      </w:r>
      <w:proofErr w:type="spellEnd"/>
      <w:r>
        <w:t xml:space="preserve"> na klawiaturze.</w:t>
      </w:r>
    </w:p>
    <w:p w:rsidR="001222EE" w:rsidRDefault="001222EE" w:rsidP="001222EE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Spowoduje to otwarcie okna, w którym zostaną wyszczególnione wszystkie instrumenty, na których możesz handlować. Kliknij na "Stock CFD", a następnie na "Japan (TSE)", jak pokazano poniżej.</w:t>
      </w:r>
    </w:p>
    <w:p w:rsidR="001222EE" w:rsidRDefault="001222EE" w:rsidP="001222EE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Dwukrotne kliknięcie na dany instrument pozwoli dodać go do listy symboli w Twoim oknie "Rynek". Teraz możesz przeciągnąć i upuścić w oknie wykresu wybrany instrument finansowy.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lastRenderedPageBreak/>
        <w:drawing>
          <wp:inline distT="0" distB="0" distL="0" distR="0" wp14:anchorId="519E20FC" wp14:editId="3A645404">
            <wp:extent cx="18180050" cy="8597900"/>
            <wp:effectExtent l="0" t="0" r="0" b="0"/>
            <wp:docPr id="22" name="Obraz 22" descr="giełda tokijska - okno symbole MetaTrader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giełda tokijska - okno symbole MetaTrader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0050" cy="859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lastRenderedPageBreak/>
        <w:t xml:space="preserve">Źródło: </w:t>
      </w:r>
      <w:proofErr w:type="spellStart"/>
      <w:r>
        <w:rPr>
          <w:rStyle w:val="Uwydatnienie"/>
        </w:rPr>
        <w:t>MetaTrader</w:t>
      </w:r>
      <w:proofErr w:type="spellEnd"/>
      <w:r>
        <w:rPr>
          <w:rStyle w:val="Uwydatnienie"/>
        </w:rPr>
        <w:t xml:space="preserve"> 5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>, okno symbole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Ostrzeżenie: Wykresy instrumentów finansowych w tym artykule służą wyłącznie celom ilustracyjnym i nie stanowią porady handlowej ani nakłaniania do kupna lub sprzedaży jakiegokolwiek instrumentu finansowego oferowanego przez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 (kontrakty CFD, ETF, akcje). Wyniki osiągane w przeszłości nie gwarantują podobnych w przyszłości.</w:t>
      </w:r>
    </w:p>
    <w:p w:rsidR="001222EE" w:rsidRDefault="001222EE" w:rsidP="001222EE">
      <w:pPr>
        <w:pStyle w:val="NormalnyWeb"/>
        <w:jc w:val="both"/>
      </w:pPr>
      <w:r>
        <w:t>Z tego miejsca możesz sprawdzić pełną listę wszystkich japońskich akcji, którymi można handlować oraz w które możesz inwestować. Obejmują one akcje z różnych sektorów, takich jak np.:</w:t>
      </w:r>
    </w:p>
    <w:p w:rsidR="001222EE" w:rsidRDefault="001222EE" w:rsidP="001222EE">
      <w:pPr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>
        <w:t>Czołowe japońskie firmy z branży elektroniki użytkowej, takie jak Canon, Casio, Panasonic, Sony, Fujitsu, Toshiba i Nikon.</w:t>
      </w:r>
    </w:p>
    <w:p w:rsidR="001222EE" w:rsidRDefault="001222EE" w:rsidP="001222EE">
      <w:pPr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>
        <w:t>Wiodących japońskich producentów samochodów i motocykli, jak Toyota, Nissan, Honda, Mitsubishi i Yamaha Motors.</w:t>
      </w:r>
    </w:p>
    <w:p w:rsidR="001222EE" w:rsidRDefault="001222EE" w:rsidP="001222EE">
      <w:pPr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>
        <w:t xml:space="preserve">Inne uznane spółki, takie jak </w:t>
      </w:r>
      <w:proofErr w:type="spellStart"/>
      <w:r>
        <w:t>SoftBank</w:t>
      </w:r>
      <w:proofErr w:type="spellEnd"/>
      <w:r>
        <w:t xml:space="preserve">, Asahi, Bridgestone, </w:t>
      </w:r>
      <w:proofErr w:type="spellStart"/>
      <w:r>
        <w:t>Kikkoman</w:t>
      </w:r>
      <w:proofErr w:type="spellEnd"/>
      <w:r>
        <w:t xml:space="preserve"> i Nintendo.</w:t>
      </w:r>
    </w:p>
    <w:p w:rsidR="001222EE" w:rsidRDefault="001222EE" w:rsidP="001222EE">
      <w:pPr>
        <w:pStyle w:val="NormalnyWeb"/>
        <w:jc w:val="both"/>
      </w:pPr>
      <w:r>
        <w:t xml:space="preserve">Akcje rynku japońskiego dostępne do handlu możesz również przeglądać w Specyfikacji Instrumentów na stronie </w:t>
      </w:r>
      <w:proofErr w:type="spellStart"/>
      <w:r>
        <w:t>Admirals</w:t>
      </w:r>
      <w:proofErr w:type="spellEnd"/>
      <w:r>
        <w:t>, jak pokazano poniżej: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drawing>
          <wp:inline distT="0" distB="0" distL="0" distR="0" wp14:anchorId="35F7E995" wp14:editId="02C8C197">
            <wp:extent cx="5543550" cy="4375150"/>
            <wp:effectExtent l="0" t="0" r="0" b="6350"/>
            <wp:docPr id="21" name="Obraz 21" descr="gielda japonia - specyfikacja instrumentów na stronie Admiral Marke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gielda japonia - specyfikacja instrumentów na stronie Admiral Markets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437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Źródło: </w:t>
      </w:r>
      <w:hyperlink r:id="rId18" w:anchor="tile-stocks-table" w:tgtFrame="_blank" w:history="1">
        <w:r>
          <w:rPr>
            <w:rStyle w:val="Hipercze"/>
          </w:rPr>
          <w:t xml:space="preserve">Specyfikacja instrumentów </w:t>
        </w:r>
        <w:proofErr w:type="spellStart"/>
        <w:r>
          <w:rPr>
            <w:rStyle w:val="Hipercze"/>
          </w:rPr>
          <w:t>Admirals</w:t>
        </w:r>
        <w:proofErr w:type="spellEnd"/>
      </w:hyperlink>
    </w:p>
    <w:p w:rsidR="001222EE" w:rsidRDefault="001222EE" w:rsidP="001222EE">
      <w:pPr>
        <w:pStyle w:val="NormalnyWeb"/>
        <w:jc w:val="both"/>
      </w:pPr>
      <w:r>
        <w:lastRenderedPageBreak/>
        <w:t>Zanim przyjrzymy się ruchom cen akcji japońskich i narzędziom używanym przez inwestorów do podejmowania decyzji inwestycyjnych, przypatrzmy się najpierw, jak zacząć inwestować w giełdę tokijską.</w:t>
      </w:r>
    </w:p>
    <w:p w:rsidR="001222EE" w:rsidRDefault="001222EE" w:rsidP="001222EE">
      <w:pPr>
        <w:pStyle w:val="Nagwek3"/>
      </w:pPr>
      <w:r>
        <w:t>Jak inwestować w akcje rynku japońskiego?</w:t>
      </w:r>
    </w:p>
    <w:p w:rsidR="001222EE" w:rsidRDefault="001222EE" w:rsidP="001222EE">
      <w:pPr>
        <w:pStyle w:val="NormalnyWeb"/>
        <w:jc w:val="both"/>
      </w:pPr>
      <w:r>
        <w:t xml:space="preserve">Za pomocą rachunku </w:t>
      </w:r>
      <w:proofErr w:type="spellStart"/>
      <w:r>
        <w:t>Admirals</w:t>
      </w:r>
      <w:proofErr w:type="spellEnd"/>
      <w:r>
        <w:t xml:space="preserve"> Trade.MT5 masz możliwość handlu kontraktami CFD (kontrakt różnicy kursowej) na akcje spółek notowanych na giełdzie w Tokio. Oznacza to, że możesz spekulować na wzrostach i spadkach cen akcji. Ten rodzaj rachunku jest przydatny na niestabilnych rynkach, na których notowania akcji często rosną i spadają.</w:t>
      </w:r>
    </w:p>
    <w:p w:rsidR="001222EE" w:rsidRDefault="001222EE" w:rsidP="001222EE">
      <w:pPr>
        <w:pStyle w:val="NormalnyWeb"/>
        <w:jc w:val="both"/>
      </w:pPr>
      <w:r>
        <w:t>Aby kupić lub sprzedać akcje japońskie (</w:t>
      </w:r>
      <w:proofErr w:type="spellStart"/>
      <w:r>
        <w:t>japan</w:t>
      </w:r>
      <w:proofErr w:type="spellEnd"/>
      <w:r>
        <w:t xml:space="preserve"> </w:t>
      </w:r>
      <w:proofErr w:type="spellStart"/>
      <w:r>
        <w:t>stock</w:t>
      </w:r>
      <w:proofErr w:type="spellEnd"/>
      <w:r>
        <w:t xml:space="preserve"> exchange) na platformie transakcyjnej </w:t>
      </w:r>
      <w:proofErr w:type="spellStart"/>
      <w:r>
        <w:t>MetaTrader</w:t>
      </w:r>
      <w:proofErr w:type="spellEnd"/>
      <w:r>
        <w:t xml:space="preserve"> 5, otwórz platformę i wybierz odpowiedni instrument, na którym chcesz handlować. Następnym krokiem jest otwarcie okna zlecenia, według poniższej instrukcji:</w:t>
      </w:r>
    </w:p>
    <w:p w:rsidR="001222EE" w:rsidRDefault="001222EE" w:rsidP="001222EE">
      <w:pPr>
        <w:numPr>
          <w:ilvl w:val="0"/>
          <w:numId w:val="3"/>
        </w:numPr>
        <w:spacing w:before="100" w:beforeAutospacing="1" w:after="100" w:afterAutospacing="1" w:line="240" w:lineRule="auto"/>
        <w:jc w:val="both"/>
      </w:pPr>
      <w:r>
        <w:t>Kliknij prawym przyciskiem myszy na wykres.</w:t>
      </w:r>
    </w:p>
    <w:p w:rsidR="001222EE" w:rsidRDefault="001222EE" w:rsidP="001222EE">
      <w:pPr>
        <w:numPr>
          <w:ilvl w:val="0"/>
          <w:numId w:val="3"/>
        </w:numPr>
        <w:spacing w:before="100" w:beforeAutospacing="1" w:after="100" w:afterAutospacing="1" w:line="240" w:lineRule="auto"/>
        <w:jc w:val="both"/>
      </w:pPr>
      <w:r>
        <w:t>Wybierz z listy "Handel".</w:t>
      </w:r>
    </w:p>
    <w:p w:rsidR="001222EE" w:rsidRDefault="001222EE" w:rsidP="001222EE">
      <w:pPr>
        <w:numPr>
          <w:ilvl w:val="0"/>
          <w:numId w:val="3"/>
        </w:numPr>
        <w:spacing w:before="100" w:beforeAutospacing="1" w:after="100" w:afterAutospacing="1" w:line="240" w:lineRule="auto"/>
        <w:jc w:val="both"/>
      </w:pPr>
      <w:r>
        <w:t>Wybierz opcję "Nowe zlecenie" lub naciśnij F9 na klawiaturze.</w:t>
      </w:r>
    </w:p>
    <w:p w:rsidR="001222EE" w:rsidRDefault="001222EE" w:rsidP="001222EE">
      <w:pPr>
        <w:numPr>
          <w:ilvl w:val="0"/>
          <w:numId w:val="3"/>
        </w:numPr>
        <w:spacing w:before="100" w:beforeAutospacing="1" w:after="100" w:afterAutospacing="1" w:line="240" w:lineRule="auto"/>
        <w:jc w:val="both"/>
      </w:pPr>
      <w:r>
        <w:t xml:space="preserve">Zostanie otwarte okno zlecenia, w którym możesz wprowadzić cenę otwarcia, poziom zlecenia stop </w:t>
      </w:r>
      <w:proofErr w:type="spellStart"/>
      <w:r>
        <w:t>loss</w:t>
      </w:r>
      <w:proofErr w:type="spellEnd"/>
      <w:r>
        <w:t xml:space="preserve"> i </w:t>
      </w:r>
      <w:proofErr w:type="spellStart"/>
      <w:r>
        <w:t>take</w:t>
      </w:r>
      <w:proofErr w:type="spellEnd"/>
      <w:r>
        <w:t xml:space="preserve"> profit oraz wielkość pozycji (wolumen).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lastRenderedPageBreak/>
        <w:drawing>
          <wp:inline distT="0" distB="0" distL="0" distR="0" wp14:anchorId="6AB763C4" wp14:editId="187B52F7">
            <wp:extent cx="15240000" cy="7200900"/>
            <wp:effectExtent l="0" t="0" r="0" b="0"/>
            <wp:docPr id="20" name="Obraz 20" descr="akcje rynku japońskiego okno zlecenie MetaTrader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akcje rynku japońskiego okno zlecenie MetaTrader 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0" cy="720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Źródło: </w:t>
      </w:r>
      <w:proofErr w:type="spellStart"/>
      <w:r>
        <w:rPr>
          <w:rStyle w:val="Uwydatnienie"/>
        </w:rPr>
        <w:t>MetaTrader</w:t>
      </w:r>
      <w:proofErr w:type="spellEnd"/>
      <w:r>
        <w:rPr>
          <w:rStyle w:val="Uwydatnienie"/>
        </w:rPr>
        <w:t xml:space="preserve"> 5, okno zlecenia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Ostrzeżenie: Wykresy instrumentów finansowych w tym artykule służą wyłącznie celom ilustracyjnym i nie stanowią porady handlowej ani nakłaniania do kupna lub sprzedaży jakiegokolwiek instrumentu finansowego oferowanego przez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 (kontrakty CFD, ETF, akcje). Wyniki osiągane w przeszłości nie gwarantują podobnych w przyszłości.</w:t>
      </w:r>
    </w:p>
    <w:p w:rsidR="001222EE" w:rsidRDefault="001222EE" w:rsidP="001222EE">
      <w:pPr>
        <w:pStyle w:val="NormalnyWeb"/>
        <w:jc w:val="both"/>
      </w:pPr>
      <w:r>
        <w:lastRenderedPageBreak/>
        <w:t xml:space="preserve">Dzięki rachunkowi Invest.MT5 można kupować fizyczne akcje 195 różnych spółek notowanych na </w:t>
      </w:r>
      <w:proofErr w:type="spellStart"/>
      <w:r>
        <w:t>Tokyo</w:t>
      </w:r>
      <w:proofErr w:type="spellEnd"/>
      <w:r>
        <w:t xml:space="preserve"> Stock Exchange. Dotyczy to głównie inwestorów długoterminowych, którzy chcą utrzymywać pozycje przez wiele tygodni, miesięcy, a nawet lat. Jeśli rozważasz inwestowanie w akcje rynku japońskiego lub chciałbyś inwestować w inne akcje i fundusze ETF z całego świata, rachunek Invest.MT5 oferuje:</w:t>
      </w:r>
    </w:p>
    <w:p w:rsidR="001222EE" w:rsidRDefault="001222EE" w:rsidP="001222EE">
      <w:pPr>
        <w:numPr>
          <w:ilvl w:val="0"/>
          <w:numId w:val="4"/>
        </w:numPr>
        <w:spacing w:before="100" w:beforeAutospacing="1" w:after="100" w:afterAutospacing="1" w:line="240" w:lineRule="auto"/>
        <w:jc w:val="both"/>
      </w:pPr>
      <w:r>
        <w:t>Możliwość inwestowania w tysiące akcji i ETF-ów z 15 największych giełd na świecie.</w:t>
      </w:r>
    </w:p>
    <w:p w:rsidR="001222EE" w:rsidRDefault="001222EE" w:rsidP="001222EE">
      <w:pPr>
        <w:numPr>
          <w:ilvl w:val="0"/>
          <w:numId w:val="4"/>
        </w:numPr>
        <w:spacing w:before="100" w:beforeAutospacing="1" w:after="100" w:afterAutospacing="1" w:line="240" w:lineRule="auto"/>
        <w:jc w:val="both"/>
      </w:pPr>
      <w:r>
        <w:t>Otwarcie rachunku z minimalnym depozytem w wysokości zaledwie 1 euro i inwestowanie już od 0,01 USD za akcję z minimalną opłatą transakcyjną wynoszącą zaledwie 1 USD na amerykańskich akcjach.</w:t>
      </w:r>
    </w:p>
    <w:p w:rsidR="001222EE" w:rsidRDefault="001222EE" w:rsidP="001222EE">
      <w:pPr>
        <w:numPr>
          <w:ilvl w:val="0"/>
          <w:numId w:val="4"/>
        </w:numPr>
        <w:spacing w:before="100" w:beforeAutospacing="1" w:after="100" w:afterAutospacing="1" w:line="240" w:lineRule="auto"/>
        <w:jc w:val="both"/>
      </w:pPr>
      <w:r>
        <w:t>Otrzymywanie bezpłatnych danych rynkowych w czasie rzeczywistym, bez opóźnień, bez dodatkowych kosztów.</w:t>
      </w:r>
    </w:p>
    <w:p w:rsidR="001222EE" w:rsidRDefault="001222EE" w:rsidP="001222EE">
      <w:pPr>
        <w:numPr>
          <w:ilvl w:val="0"/>
          <w:numId w:val="4"/>
        </w:numPr>
        <w:spacing w:before="100" w:beforeAutospacing="1" w:after="100" w:afterAutospacing="1" w:line="240" w:lineRule="auto"/>
        <w:jc w:val="both"/>
      </w:pPr>
      <w:r>
        <w:t>Stworzenie strumienia pasywnych dochodów z portfolio akcji dywidendowych.</w:t>
      </w:r>
    </w:p>
    <w:p w:rsidR="001222EE" w:rsidRDefault="001222EE" w:rsidP="001222EE">
      <w:pPr>
        <w:numPr>
          <w:ilvl w:val="0"/>
          <w:numId w:val="4"/>
        </w:numPr>
        <w:spacing w:before="100" w:beforeAutospacing="1" w:after="100" w:afterAutospacing="1" w:line="240" w:lineRule="auto"/>
        <w:jc w:val="both"/>
      </w:pPr>
      <w:r>
        <w:t xml:space="preserve">Korzystanie z najpopularniejszej na świecie platformy transakcyjnej </w:t>
      </w:r>
      <w:proofErr w:type="spellStart"/>
      <w:r>
        <w:t>MetaTrader</w:t>
      </w:r>
      <w:proofErr w:type="spellEnd"/>
      <w:r>
        <w:t xml:space="preserve"> 5 klasy wielu aktywów.</w:t>
      </w:r>
    </w:p>
    <w:p w:rsidR="001222EE" w:rsidRDefault="001222EE" w:rsidP="001222EE">
      <w:pPr>
        <w:pStyle w:val="NormalnyWeb"/>
        <w:jc w:val="both"/>
      </w:pPr>
      <w:r>
        <w:t>Możesz zacząć już teraz, klikając w poniższy baner i korzystając z wszystkich powyższych funkcji i nie tylko!</w:t>
      </w:r>
    </w:p>
    <w:p w:rsidR="001222EE" w:rsidRDefault="001222EE" w:rsidP="001222EE">
      <w:r>
        <w:t>Inwestuj w najbardziej popularne instrumenty finansowe</w:t>
      </w:r>
    </w:p>
    <w:p w:rsidR="001222EE" w:rsidRDefault="001222EE" w:rsidP="001222EE">
      <w:pPr>
        <w:pStyle w:val="NormalnyWeb"/>
      </w:pPr>
      <w:r>
        <w:t>Tysiące akcji i ETF-ów w zasięgu ręki</w:t>
      </w:r>
    </w:p>
    <w:p w:rsidR="001222EE" w:rsidRDefault="001222EE" w:rsidP="001222EE">
      <w:hyperlink r:id="rId20" w:tgtFrame="_blank" w:history="1">
        <w:r>
          <w:rPr>
            <w:rStyle w:val="Hipercze"/>
          </w:rPr>
          <w:t>ZACZNIJ INWESTOWAĆ</w:t>
        </w:r>
      </w:hyperlink>
    </w:p>
    <w:p w:rsidR="001222EE" w:rsidRDefault="001222EE" w:rsidP="001222EE">
      <w:r>
        <w:rPr>
          <w:noProof/>
          <w:color w:val="0000FF"/>
          <w:lang w:eastAsia="pl-PL"/>
        </w:rPr>
        <w:drawing>
          <wp:inline distT="0" distB="0" distL="0" distR="0" wp14:anchorId="4E2A8268" wp14:editId="4FD99DDB">
            <wp:extent cx="1809750" cy="1809750"/>
            <wp:effectExtent l="0" t="0" r="0" b="0"/>
            <wp:docPr id="19" name="Obraz 19" descr="Inwestuj w najbardziej popularne instrumenty finansowe">
              <a:hlinkClick xmlns:a="http://schemas.openxmlformats.org/drawingml/2006/main" r:id="rId2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Inwestuj w najbardziej popularne instrumenty finansowe">
                      <a:hlinkClick r:id="rId2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agwek4"/>
        <w:jc w:val="both"/>
      </w:pPr>
      <w:r>
        <w:t>Co wpływa na notowania japońskiej giełdy - Japan Stock Exchange?</w:t>
      </w:r>
    </w:p>
    <w:p w:rsidR="001222EE" w:rsidRDefault="001222EE" w:rsidP="001222EE">
      <w:pPr>
        <w:pStyle w:val="NormalnyWeb"/>
        <w:jc w:val="both"/>
      </w:pPr>
      <w:r>
        <w:t xml:space="preserve">Istnieje wiele czynników, które mają wpływ na japońską giełdę. Jednak największe znaczenie dotyczy działań </w:t>
      </w:r>
      <w:hyperlink r:id="rId22" w:tgtFrame="_blank" w:history="1">
        <w:r>
          <w:rPr>
            <w:rStyle w:val="Hipercze"/>
          </w:rPr>
          <w:t>Banku Japonii</w:t>
        </w:r>
      </w:hyperlink>
      <w:r>
        <w:t>, które zostały opisane poniżej.</w:t>
      </w:r>
    </w:p>
    <w:p w:rsidR="001222EE" w:rsidRDefault="001222EE" w:rsidP="001222EE">
      <w:pPr>
        <w:pStyle w:val="Nagwek4"/>
        <w:jc w:val="both"/>
      </w:pPr>
      <w:r>
        <w:t>Bank Japonii i giełda w Tokio</w:t>
      </w:r>
    </w:p>
    <w:p w:rsidR="001222EE" w:rsidRDefault="001222EE" w:rsidP="001222EE">
      <w:pPr>
        <w:pStyle w:val="NormalnyWeb"/>
        <w:jc w:val="both"/>
      </w:pPr>
      <w:r>
        <w:t>Na początku 1990 roku giełda tokijska załamała się, powodując spadek cen nieruchomości o 87%. Do 1995 roku Bank Japonii obniżył stopy procentowe z 6% do 0,5%. Wielu uważało, że gospodarka odrodziła się z dwudziestoletniego kryzysu, często nazwanego "straconą dekadą". Mimo to kryzys finansowy z 2008 r. doprowadził do załamania gospodarki, a jeszcze bardziej pogłębił go wybuch pandemii Covid-19 w 2020 roku.</w:t>
      </w:r>
    </w:p>
    <w:p w:rsidR="001222EE" w:rsidRDefault="001222EE" w:rsidP="001222EE">
      <w:pPr>
        <w:pStyle w:val="NormalnyWeb"/>
        <w:jc w:val="both"/>
      </w:pPr>
      <w:r>
        <w:lastRenderedPageBreak/>
        <w:t xml:space="preserve">W 2012 roku premier Japonii </w:t>
      </w:r>
      <w:proofErr w:type="spellStart"/>
      <w:r>
        <w:t>Shinzo</w:t>
      </w:r>
      <w:proofErr w:type="spellEnd"/>
      <w:r>
        <w:t xml:space="preserve"> </w:t>
      </w:r>
      <w:proofErr w:type="spellStart"/>
      <w:r>
        <w:t>Abe</w:t>
      </w:r>
      <w:proofErr w:type="spellEnd"/>
      <w:r>
        <w:t xml:space="preserve"> zainicjował program reform o nazwie </w:t>
      </w:r>
      <w:proofErr w:type="spellStart"/>
      <w:r>
        <w:t>Abenomika</w:t>
      </w:r>
      <w:proofErr w:type="spellEnd"/>
      <w:r>
        <w:t>. Jednym z jego filarów było rozpoczęcie luzowania ilościowego polityki pieniężnej w celu obniżenia wartości jena japońskiego, a tym samym kosztów eksportu (które stanowią ogromną część dochodów Japonii), co miało pomóc przedsiębiorstwom rozwijać się wraz z gospodarką. Niestety, plan ten nie zdołał ożywić gospodarki.</w:t>
      </w:r>
    </w:p>
    <w:p w:rsidR="001222EE" w:rsidRDefault="001222EE" w:rsidP="001222EE">
      <w:pPr>
        <w:pStyle w:val="NormalnyWeb"/>
        <w:jc w:val="both"/>
      </w:pPr>
      <w:r>
        <w:t>W chwili obecnej Bank Japonii podjął inne metody działań - próbuje podnieść ceny akcji w nadziei na zwiększenie wydatków konsumpcyjnych w gospodarce. Bank kupuje aktywa takie jak fundusze giełdowe (ETF), które utrzymują spółki notowane na giełdzie, próbując podnieść ceny akcji. Są one obecnie jednym z największych posiadaczy akcji notowanych na giełdzie tokijskiej i znajdują się w pierwszej piątce właścicieli 81 różnych spółek.</w:t>
      </w:r>
    </w:p>
    <w:p w:rsidR="001222EE" w:rsidRDefault="001222EE" w:rsidP="001222EE">
      <w:pPr>
        <w:pStyle w:val="NormalnyWeb"/>
        <w:jc w:val="both"/>
      </w:pPr>
      <w:r>
        <w:t>Poniżej znajduje się wykres japońskiego indeksu giełdowego Nikkei 225, który jest indeksem ważonym cenowo 225 największych spółek notowanych w pierwszej sekcji giełdy tokijskiej: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lastRenderedPageBreak/>
        <w:drawing>
          <wp:inline distT="0" distB="0" distL="0" distR="0" wp14:anchorId="6A89BEBC" wp14:editId="41672CE1">
            <wp:extent cx="15240000" cy="7143750"/>
            <wp:effectExtent l="0" t="0" r="0" b="0"/>
            <wp:docPr id="18" name="Obraz 18" descr="akcje japońskie - wykres Nikkei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akcje japońskie - wykres Nikkei 22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0" cy="714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Źródło: </w:t>
      </w:r>
      <w:hyperlink r:id="rId24" w:tgtFrame="_blank" w:tooltip="mt5" w:history="1">
        <w:proofErr w:type="spellStart"/>
        <w:r>
          <w:rPr>
            <w:rStyle w:val="Hipercze"/>
            <w:i/>
            <w:iCs/>
          </w:rPr>
          <w:t>Admirals</w:t>
        </w:r>
        <w:proofErr w:type="spellEnd"/>
        <w:r>
          <w:rPr>
            <w:rStyle w:val="Hipercze"/>
            <w:i/>
            <w:iCs/>
          </w:rPr>
          <w:t xml:space="preserve"> </w:t>
        </w:r>
        <w:proofErr w:type="spellStart"/>
        <w:r>
          <w:rPr>
            <w:rStyle w:val="Hipercze"/>
            <w:i/>
            <w:iCs/>
          </w:rPr>
          <w:t>MetaTrader</w:t>
        </w:r>
        <w:proofErr w:type="spellEnd"/>
        <w:r>
          <w:rPr>
            <w:rStyle w:val="Hipercze"/>
            <w:i/>
            <w:iCs/>
          </w:rPr>
          <w:t xml:space="preserve"> 5</w:t>
        </w:r>
      </w:hyperlink>
      <w:r>
        <w:rPr>
          <w:rStyle w:val="Uwydatnienie"/>
        </w:rPr>
        <w:t>. Wykres miesięczny JP225. Zakres danych: od 1 maja 2005 r. do 1 lipca 2020 r. Wykres sporządzono 24 lipca 2020 r. o godzinie 19:18 BST. Uwaga: Wyniki osiągnięte w przeszłości nie gwarantują podobnych w przyszłości.</w:t>
      </w:r>
    </w:p>
    <w:p w:rsidR="001222EE" w:rsidRDefault="001222EE" w:rsidP="001222EE">
      <w:pPr>
        <w:pStyle w:val="NormalnyWeb"/>
        <w:jc w:val="both"/>
      </w:pPr>
      <w:r>
        <w:t xml:space="preserve">Z powyższego długoterminowego, miesięcznego wykresu cenowego widać wyraźnie ogólny spadek cen akcji podczas kryzysu finansowego z 2008 r., stagnację do 2013 r., a następnie wzrost do 2019 r. włącznie. Generalnie opieranie się na trendzie indeksu może być pomocne </w:t>
      </w:r>
      <w:r>
        <w:lastRenderedPageBreak/>
        <w:t>podczas wykonywania pierwszej transakcji kupna lub sprzedaży poszczególnych akcji i zapewne dobrze wpisze się w ogólną strategię oraz metodologię handlową inwestora.</w:t>
      </w:r>
    </w:p>
    <w:p w:rsidR="001222EE" w:rsidRDefault="001222EE" w:rsidP="001222EE">
      <w:pPr>
        <w:pStyle w:val="Nagwek3"/>
      </w:pPr>
      <w:r>
        <w:t>Akcje rynku japońskiego - strategia handlowa</w:t>
      </w:r>
    </w:p>
    <w:p w:rsidR="001222EE" w:rsidRDefault="001222EE" w:rsidP="001222EE">
      <w:pPr>
        <w:pStyle w:val="NormalnyWeb"/>
        <w:jc w:val="both"/>
      </w:pPr>
      <w:r>
        <w:t xml:space="preserve">Strategie handlowe są bardzo przydatne podczas handlu na rynkach finansowych. Pomagają one bowiem </w:t>
      </w:r>
      <w:proofErr w:type="spellStart"/>
      <w:r>
        <w:t>traderowi</w:t>
      </w:r>
      <w:proofErr w:type="spellEnd"/>
      <w:r>
        <w:t xml:space="preserve"> w podejmowaniu bardziej usystematyzowanych decyzji transakcyjnych przy użyciu spójnej metodologii. W istocie, przyczynia się to do usprawnienia procesu ich podejmowania, dzięki czemu można uniknąć emocjonalnych i pochopnych ocen podczas </w:t>
      </w:r>
      <w:proofErr w:type="spellStart"/>
      <w:r>
        <w:t>tradingu</w:t>
      </w:r>
      <w:proofErr w:type="spellEnd"/>
      <w:r>
        <w:t>. Do najpopularniejszych rodzajów analiz stosowanych w strategii są:</w:t>
      </w:r>
    </w:p>
    <w:p w:rsidR="001222EE" w:rsidRDefault="001222EE" w:rsidP="001222EE">
      <w:pPr>
        <w:numPr>
          <w:ilvl w:val="0"/>
          <w:numId w:val="5"/>
        </w:numPr>
        <w:spacing w:before="100" w:beforeAutospacing="1" w:after="100" w:afterAutospacing="1" w:line="240" w:lineRule="auto"/>
        <w:jc w:val="both"/>
      </w:pPr>
      <w:hyperlink r:id="rId25" w:tgtFrame="_blank" w:tooltip="analiza fundamentalna spółek" w:history="1">
        <w:r>
          <w:rPr>
            <w:rStyle w:val="Hipercze"/>
          </w:rPr>
          <w:t>Analiza fundamentalna</w:t>
        </w:r>
      </w:hyperlink>
      <w:r>
        <w:t xml:space="preserve">. Polega ona na analizie szerszego obrazu ekonomicznego, jak również danych dotyczących poszczególnych spółek. Biorąc pod uwagę, że japońska giełda jest wspierana przez Bank Japonii, </w:t>
      </w:r>
      <w:proofErr w:type="spellStart"/>
      <w:r>
        <w:t>traderzy</w:t>
      </w:r>
      <w:proofErr w:type="spellEnd"/>
      <w:r>
        <w:t xml:space="preserve"> często śledzą wszelkie istotne zmiany w polityce tego banku. Ponieważ większość dochodów Japonii jest w dużym stopniu uzależniona od eksportu produkcji, analiza ta może również skupiać uwagę na ogłoszeniach danych produkcyjnych, jak również dotyczących jena japońskiego.</w:t>
      </w:r>
    </w:p>
    <w:p w:rsidR="001222EE" w:rsidRDefault="001222EE" w:rsidP="001222EE">
      <w:pPr>
        <w:numPr>
          <w:ilvl w:val="0"/>
          <w:numId w:val="5"/>
        </w:numPr>
        <w:spacing w:before="100" w:beforeAutospacing="1" w:after="100" w:afterAutospacing="1" w:line="240" w:lineRule="auto"/>
        <w:jc w:val="both"/>
      </w:pPr>
      <w:hyperlink r:id="rId26" w:tgtFrame="_blank" w:tooltip="AT spółek" w:history="1">
        <w:r>
          <w:rPr>
            <w:rStyle w:val="Hipercze"/>
          </w:rPr>
          <w:t>Analiza techniczna</w:t>
        </w:r>
      </w:hyperlink>
      <w:r>
        <w:t xml:space="preserve">. Polega ona na analizie kształtowania się cen akcji </w:t>
      </w:r>
      <w:proofErr w:type="spellStart"/>
      <w:r>
        <w:t>spółki.Traderzy</w:t>
      </w:r>
      <w:proofErr w:type="spellEnd"/>
      <w:r>
        <w:t xml:space="preserve"> często korzystają z narzędzi do rysowania na wykresie, aby pomóc w identyfikacji powtarzalnych schematów (formacji i układów), jak również wykorzystują wskaźniki techniczne do zidentyfikowania możliwych punktów zwrotnych na giełdzie. Połączenie analizy fundamentalnej i technicznej daje jeszcze lepszy wgląd ruchu na rynku zatem może przynieść wiele korzyści.</w:t>
      </w:r>
    </w:p>
    <w:p w:rsidR="001222EE" w:rsidRDefault="001222EE" w:rsidP="001222EE">
      <w:pPr>
        <w:pStyle w:val="NormalnyWeb"/>
        <w:jc w:val="both"/>
      </w:pPr>
      <w:proofErr w:type="spellStart"/>
      <w:r>
        <w:t>Admirals</w:t>
      </w:r>
      <w:proofErr w:type="spellEnd"/>
      <w:r>
        <w:t xml:space="preserve"> zapewnia przydatne narzędzia do </w:t>
      </w:r>
      <w:proofErr w:type="spellStart"/>
      <w:r>
        <w:t>tradingu</w:t>
      </w:r>
      <w:proofErr w:type="spellEnd"/>
      <w:r>
        <w:t xml:space="preserve">, które pomogą połączyć własną analizę fundamentalną z automatyczną analizą techniczną. Wskaźnik Trading Central Technical </w:t>
      </w:r>
      <w:proofErr w:type="spellStart"/>
      <w:r>
        <w:t>Insight</w:t>
      </w:r>
      <w:proofErr w:type="spellEnd"/>
      <w:r>
        <w:t>™ umożliwia dokonywanie analiz technicznych dla szerokiego wachlarza klas aktywów, w tym wybrane akcje japońskie notowane na wielu rynkach jednocześnie (tzw. dual-listing)!</w:t>
      </w:r>
    </w:p>
    <w:p w:rsidR="001222EE" w:rsidRDefault="001222EE" w:rsidP="001222EE">
      <w:pPr>
        <w:pStyle w:val="NormalnyWeb"/>
        <w:jc w:val="both"/>
      </w:pPr>
      <w:r>
        <w:t xml:space="preserve">Jeżeli nie pobrałeś jeszcze wskaźnika Trading Central, możesz to zrobić, aktualizując swoją platformę transakcyjną </w:t>
      </w:r>
      <w:proofErr w:type="spellStart"/>
      <w:r>
        <w:t>MetaTrader</w:t>
      </w:r>
      <w:proofErr w:type="spellEnd"/>
      <w:r>
        <w:t xml:space="preserve"> 5 udostępnioną przez </w:t>
      </w:r>
      <w:proofErr w:type="spellStart"/>
      <w:r>
        <w:t>Admirals</w:t>
      </w:r>
      <w:proofErr w:type="spellEnd"/>
      <w:r>
        <w:t xml:space="preserve"> do wersji </w:t>
      </w:r>
      <w:proofErr w:type="spellStart"/>
      <w:r>
        <w:t>Supreme</w:t>
      </w:r>
      <w:proofErr w:type="spellEnd"/>
      <w:r>
        <w:t xml:space="preserve"> Edition całkowicie za darmo! Kliknij na poniższy baner, aby pobrać go teraz:</w:t>
      </w:r>
    </w:p>
    <w:p w:rsidR="001222EE" w:rsidRDefault="001222EE" w:rsidP="001222EE">
      <w:r>
        <w:t xml:space="preserve">Odkryj ekskluzywną wersję </w:t>
      </w:r>
      <w:proofErr w:type="spellStart"/>
      <w:r>
        <w:t>MetaTrader</w:t>
      </w:r>
      <w:proofErr w:type="spellEnd"/>
      <w:r>
        <w:t xml:space="preserve"> </w:t>
      </w:r>
      <w:proofErr w:type="spellStart"/>
      <w:r>
        <w:t>Supreme</w:t>
      </w:r>
      <w:proofErr w:type="spellEnd"/>
      <w:r>
        <w:t xml:space="preserve"> Edition</w:t>
      </w:r>
    </w:p>
    <w:p w:rsidR="001222EE" w:rsidRDefault="001222EE" w:rsidP="001222EE">
      <w:pPr>
        <w:pStyle w:val="NormalnyWeb"/>
      </w:pPr>
      <w:r>
        <w:t>Pobierz najpotężniejszy pakiet wtyczek do swojej ulubionej platformy transakcyjnej!</w:t>
      </w:r>
    </w:p>
    <w:p w:rsidR="001222EE" w:rsidRDefault="001222EE" w:rsidP="001222EE">
      <w:hyperlink r:id="rId27" w:tgtFrame="_blank" w:history="1">
        <w:r>
          <w:rPr>
            <w:rStyle w:val="Hipercze"/>
          </w:rPr>
          <w:t>POBIERZ TERAZ</w:t>
        </w:r>
      </w:hyperlink>
    </w:p>
    <w:p w:rsidR="001222EE" w:rsidRDefault="001222EE" w:rsidP="001222EE">
      <w:r>
        <w:rPr>
          <w:noProof/>
          <w:color w:val="0000FF"/>
          <w:lang w:eastAsia="pl-PL"/>
        </w:rPr>
        <w:drawing>
          <wp:inline distT="0" distB="0" distL="0" distR="0" wp14:anchorId="2E3193DF" wp14:editId="3F02AD93">
            <wp:extent cx="1809750" cy="1809750"/>
            <wp:effectExtent l="0" t="0" r="0" b="0"/>
            <wp:docPr id="17" name="Obraz 17" descr="Odkryj ekskluzywną wersję MetaTrader Supreme Edition">
              <a:hlinkClick xmlns:a="http://schemas.openxmlformats.org/drawingml/2006/main" r:id="rId2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Odkryj ekskluzywną wersję MetaTrader Supreme Edition">
                      <a:hlinkClick r:id="rId2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lastRenderedPageBreak/>
        <w:t>Ponieważ wskaźniki wspierają analizę techniczną akcji i innych klas aktywów zatem warto na samym początku zdecydować, w jakim sektorze lub branży chcesz inwestować. Dla przykładu, według Twojej oceny producenci samochodów będą borykać się z trudną sytuacją ekonomiczną. W związku z tym będziesz koncentrować się na rynku niedźwiedzia akcji japońskich producentów samochodów, takich jak Toyota czy Honda. Alternatywnie, tak, jak wielu inwestorów po prostu zdecydujesz się skupić na analizie technicznej.</w:t>
      </w:r>
    </w:p>
    <w:p w:rsidR="001222EE" w:rsidRDefault="001222EE" w:rsidP="001222EE">
      <w:pPr>
        <w:pStyle w:val="NormalnyWeb"/>
        <w:jc w:val="both"/>
      </w:pPr>
      <w:r>
        <w:t xml:space="preserve">W każdym z tych podejść niezbędne jest odpowiednie zarządzanie ryzykiem. Rynki idą w górę i w dół, a Ty możesz zyskać lub stracić. Ważne jest, abyś był w pełni świadomy i rozumiał ryzyko, jakie wiąże się z daną transakcją. Możesz skorzystać z </w:t>
      </w:r>
      <w:hyperlink r:id="rId29" w:tgtFrame="_blank" w:tooltip="kalkulator forex" w:history="1">
        <w:r>
          <w:rPr>
            <w:rStyle w:val="Hipercze"/>
          </w:rPr>
          <w:t>Kalkulatora Inwestora</w:t>
        </w:r>
      </w:hyperlink>
      <w:r>
        <w:t xml:space="preserve"> </w:t>
      </w:r>
      <w:proofErr w:type="spellStart"/>
      <w:r>
        <w:t>Admirals</w:t>
      </w:r>
      <w:proofErr w:type="spellEnd"/>
      <w:r>
        <w:t>, który pomoże Ci w monitorowaniu ryzyka dla transakcji i określeniu wymaganego depozytu zabezpieczającego dla różnych instrumentów finansowych (jeśli handlujesz kontraktami CFD).</w:t>
      </w:r>
    </w:p>
    <w:p w:rsidR="001222EE" w:rsidRDefault="001222EE" w:rsidP="001222EE">
      <w:pPr>
        <w:pStyle w:val="NormalnyWeb"/>
        <w:jc w:val="both"/>
      </w:pPr>
      <w:r>
        <w:t xml:space="preserve">Aby rozpocząć korzystanie ze wskaźnika Trading Central Technical </w:t>
      </w:r>
      <w:proofErr w:type="spellStart"/>
      <w:r>
        <w:t>Insight</w:t>
      </w:r>
      <w:proofErr w:type="spellEnd"/>
      <w:r>
        <w:t xml:space="preserve">™, otwórz swoją platformę transakcyjną </w:t>
      </w:r>
      <w:proofErr w:type="spellStart"/>
      <w:r>
        <w:t>MetaTrader</w:t>
      </w:r>
      <w:proofErr w:type="spellEnd"/>
      <w:r>
        <w:t xml:space="preserve"> </w:t>
      </w:r>
      <w:proofErr w:type="spellStart"/>
      <w:r>
        <w:t>Supreme</w:t>
      </w:r>
      <w:proofErr w:type="spellEnd"/>
      <w:r>
        <w:t xml:space="preserve"> Edition. Możesz dowiedzieć się więcej o tym wskaźniku w artykule </w:t>
      </w:r>
      <w:hyperlink r:id="rId30" w:tgtFrame="_blank" w:tooltip="wtyczka metatrader" w:history="1">
        <w:r>
          <w:rPr>
            <w:rStyle w:val="Hipercze"/>
          </w:rPr>
          <w:t xml:space="preserve">Wskaźniki MT </w:t>
        </w:r>
        <w:proofErr w:type="spellStart"/>
        <w:r>
          <w:rPr>
            <w:rStyle w:val="Hipercze"/>
          </w:rPr>
          <w:t>Supreme</w:t>
        </w:r>
        <w:proofErr w:type="spellEnd"/>
        <w:r>
          <w:rPr>
            <w:rStyle w:val="Hipercze"/>
          </w:rPr>
          <w:t xml:space="preserve"> Edition Trading Central</w:t>
        </w:r>
      </w:hyperlink>
      <w:r>
        <w:t>.</w:t>
      </w:r>
    </w:p>
    <w:p w:rsidR="001222EE" w:rsidRDefault="001222EE" w:rsidP="001222EE">
      <w:pPr>
        <w:pStyle w:val="NormalnyWeb"/>
        <w:jc w:val="both"/>
      </w:pPr>
      <w:r>
        <w:t xml:space="preserve">Na razie poszukajmy akcji rynku japońskiego, takie jak Sony </w:t>
      </w:r>
      <w:proofErr w:type="spellStart"/>
      <w:r>
        <w:t>Corp</w:t>
      </w:r>
      <w:proofErr w:type="spellEnd"/>
      <w:r>
        <w:t>: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drawing>
          <wp:inline distT="0" distB="0" distL="0" distR="0" wp14:anchorId="64C9B8E4" wp14:editId="29C6F086">
            <wp:extent cx="6858000" cy="3727450"/>
            <wp:effectExtent l="0" t="0" r="0" b="6350"/>
            <wp:docPr id="16" name="Obraz 16" descr="akcje japońskie - wskaźnik Trading Central Technical Insigh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akcje japońskie - wskaźnik Trading Central Technical Insight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372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Zrzut ekranu z platformy transakcyjnej </w:t>
      </w:r>
      <w:proofErr w:type="spellStart"/>
      <w:r>
        <w:rPr>
          <w:rStyle w:val="Uwydatnienie"/>
        </w:rPr>
        <w:t>MetaTrader</w:t>
      </w:r>
      <w:proofErr w:type="spellEnd"/>
      <w:r>
        <w:rPr>
          <w:rStyle w:val="Uwydatnienie"/>
        </w:rPr>
        <w:t xml:space="preserve"> 5 </w:t>
      </w:r>
      <w:proofErr w:type="spellStart"/>
      <w:r>
        <w:rPr>
          <w:rStyle w:val="Uwydatnienie"/>
        </w:rPr>
        <w:t>Supreme</w:t>
      </w:r>
      <w:proofErr w:type="spellEnd"/>
      <w:r>
        <w:rPr>
          <w:rStyle w:val="Uwydatnienie"/>
        </w:rPr>
        <w:t xml:space="preserve"> Edition dostarczonej przez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, przedstawiający wskaźnik Trading Central Technical </w:t>
      </w:r>
      <w:proofErr w:type="spellStart"/>
      <w:r>
        <w:rPr>
          <w:rStyle w:val="Uwydatnienie"/>
        </w:rPr>
        <w:t>Insight</w:t>
      </w:r>
      <w:proofErr w:type="spellEnd"/>
      <w:r>
        <w:rPr>
          <w:rStyle w:val="Uwydatnienie"/>
        </w:rPr>
        <w:t>™ dla Sony Corp.</w:t>
      </w:r>
    </w:p>
    <w:p w:rsidR="001222EE" w:rsidRDefault="001222EE" w:rsidP="001222EE">
      <w:pPr>
        <w:pStyle w:val="NormalnyWeb"/>
        <w:jc w:val="both"/>
      </w:pPr>
      <w:r>
        <w:t>Może się okazać, że niektóre akcje rynku japońskiego są notowane na innych światowych giełdach. Akcje notowane na dwóch rynkach są dość powszechne dla niektórych najbardziej znanych spółek w Japonii.</w:t>
      </w:r>
    </w:p>
    <w:p w:rsidR="001222EE" w:rsidRDefault="001222EE" w:rsidP="001222EE">
      <w:pPr>
        <w:pStyle w:val="NormalnyWeb"/>
        <w:jc w:val="both"/>
      </w:pPr>
      <w:r>
        <w:lastRenderedPageBreak/>
        <w:t xml:space="preserve">Jak widzimy powyżej, okno wskaźnika Technical </w:t>
      </w:r>
      <w:proofErr w:type="spellStart"/>
      <w:r>
        <w:t>Insight</w:t>
      </w:r>
      <w:proofErr w:type="spellEnd"/>
      <w:r>
        <w:t xml:space="preserve">™ zawiera unikalne pomysły handlowe podzielone według następujących ram czasowych: krótkoterminowe (2 - 6 tygodni), średnioterminowe (6 tygodni - 9 miesięcy) i długoterminowe (ponad 9 miesięcy). Tuż poniżej znajduje się lista Aktywnych Zdarzeń, które dotyczą technicznych zdarzeń opartych na wzorcach </w:t>
      </w:r>
      <w:proofErr w:type="spellStart"/>
      <w:r>
        <w:t>price</w:t>
      </w:r>
      <w:proofErr w:type="spellEnd"/>
      <w:r>
        <w:t xml:space="preserve"> </w:t>
      </w:r>
      <w:proofErr w:type="spellStart"/>
      <w:r>
        <w:t>action</w:t>
      </w:r>
      <w:proofErr w:type="spellEnd"/>
      <w:r>
        <w:t xml:space="preserve"> i niektórych technicznych wskaźnikach handlowych. W przypadku Sony </w:t>
      </w:r>
      <w:proofErr w:type="spellStart"/>
      <w:r>
        <w:t>Corp</w:t>
      </w:r>
      <w:proofErr w:type="spellEnd"/>
      <w:r>
        <w:t xml:space="preserve"> mamy do czynienia z 24 różnymi zdarzeniami technicznymi (w momencie pisania tego artykułu).</w:t>
      </w:r>
    </w:p>
    <w:p w:rsidR="001222EE" w:rsidRDefault="001222EE" w:rsidP="001222EE">
      <w:pPr>
        <w:pStyle w:val="NormalnyWeb"/>
        <w:jc w:val="both"/>
      </w:pPr>
      <w:r>
        <w:t xml:space="preserve">Jeśli </w:t>
      </w:r>
      <w:proofErr w:type="spellStart"/>
      <w:r>
        <w:t>Trader</w:t>
      </w:r>
      <w:proofErr w:type="spellEnd"/>
      <w:r>
        <w:t xml:space="preserve"> miał ogólne bycze nastawienie do akcji Sony </w:t>
      </w:r>
      <w:proofErr w:type="spellStart"/>
      <w:r>
        <w:t>Corp</w:t>
      </w:r>
      <w:proofErr w:type="spellEnd"/>
      <w:r>
        <w:t xml:space="preserve"> z powodu silnych warunków ekonomicznych, które powodują, że konsumenci wydają więcej pieniędzy na takie rzeczy, jak elektronika, możesz zdecydować się na kliknięcie na jedno z krótkoterminowych byczych zdarzeń. Na przykład, klikając na wydarzenie "</w:t>
      </w:r>
      <w:proofErr w:type="spellStart"/>
      <w:r>
        <w:t>Weekly</w:t>
      </w:r>
      <w:proofErr w:type="spellEnd"/>
      <w:r>
        <w:t xml:space="preserve"> </w:t>
      </w:r>
      <w:proofErr w:type="spellStart"/>
      <w:r>
        <w:t>Momentum</w:t>
      </w:r>
      <w:proofErr w:type="spellEnd"/>
      <w:r>
        <w:t>", otwiera się wyjaśnienie zdarzenia technicznego, jak pokazano poniżej: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drawing>
          <wp:inline distT="0" distB="0" distL="0" distR="0" wp14:anchorId="50061B85" wp14:editId="155AAB2A">
            <wp:extent cx="6858000" cy="4394200"/>
            <wp:effectExtent l="0" t="0" r="0" b="6350"/>
            <wp:docPr id="15" name="Obraz 15" descr="japońska giełda akcje Sony Corp ze wskaźnikiem Trading central Technical insigh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japońska giełda akcje Sony Corp ze wskaźnikiem Trading central Technical insight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39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Zrzut ekranu z platformy transakcyjnej </w:t>
      </w:r>
      <w:proofErr w:type="spellStart"/>
      <w:r>
        <w:rPr>
          <w:rStyle w:val="Uwydatnienie"/>
        </w:rPr>
        <w:t>MetaTrader</w:t>
      </w:r>
      <w:proofErr w:type="spellEnd"/>
      <w:r>
        <w:rPr>
          <w:rStyle w:val="Uwydatnienie"/>
        </w:rPr>
        <w:t xml:space="preserve"> 5 </w:t>
      </w:r>
      <w:proofErr w:type="spellStart"/>
      <w:r>
        <w:rPr>
          <w:rStyle w:val="Uwydatnienie"/>
        </w:rPr>
        <w:t>Supreme</w:t>
      </w:r>
      <w:proofErr w:type="spellEnd"/>
      <w:r>
        <w:rPr>
          <w:rStyle w:val="Uwydatnienie"/>
        </w:rPr>
        <w:t xml:space="preserve"> Edition dostarczonej przez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, przedstawiający wskaźnik Trading Central Technical </w:t>
      </w:r>
      <w:proofErr w:type="spellStart"/>
      <w:r>
        <w:rPr>
          <w:rStyle w:val="Uwydatnienie"/>
        </w:rPr>
        <w:t>Insight</w:t>
      </w:r>
      <w:proofErr w:type="spellEnd"/>
      <w:r>
        <w:rPr>
          <w:rStyle w:val="Uwydatnienie"/>
        </w:rPr>
        <w:t>™, który dotyczy zdarzenia technicznego Sony Corp.</w:t>
      </w:r>
    </w:p>
    <w:p w:rsidR="001222EE" w:rsidRDefault="001222EE" w:rsidP="001222EE">
      <w:pPr>
        <w:pStyle w:val="NormalnyWeb"/>
        <w:jc w:val="both"/>
      </w:pPr>
      <w:r>
        <w:t xml:space="preserve">Wyjaśnia on zdarzenie techniczne na tygodniowym wykresie cen Sony </w:t>
      </w:r>
      <w:proofErr w:type="spellStart"/>
      <w:r>
        <w:t>Corp</w:t>
      </w:r>
      <w:proofErr w:type="spellEnd"/>
      <w:r>
        <w:t xml:space="preserve"> i zawiera pewne treści edukacyjne dotyczące używanego wskaźnika, który w tym przypadku jest </w:t>
      </w:r>
      <w:hyperlink r:id="rId33" w:tgtFrame="_blank" w:tooltip="wskaźniki forex" w:history="1">
        <w:r>
          <w:rPr>
            <w:rStyle w:val="Hipercze"/>
          </w:rPr>
          <w:t xml:space="preserve">wskaźnikiem </w:t>
        </w:r>
        <w:proofErr w:type="spellStart"/>
        <w:r>
          <w:rPr>
            <w:rStyle w:val="Hipercze"/>
          </w:rPr>
          <w:t>forex</w:t>
        </w:r>
        <w:proofErr w:type="spellEnd"/>
      </w:hyperlink>
      <w:r>
        <w:t xml:space="preserve"> </w:t>
      </w:r>
      <w:proofErr w:type="spellStart"/>
      <w:r>
        <w:t>momentum</w:t>
      </w:r>
      <w:proofErr w:type="spellEnd"/>
      <w:r>
        <w:t xml:space="preserve">. </w:t>
      </w:r>
      <w:proofErr w:type="spellStart"/>
      <w:r>
        <w:t>Traderzy</w:t>
      </w:r>
      <w:proofErr w:type="spellEnd"/>
      <w:r>
        <w:t xml:space="preserve"> mogą zobaczyć zarówno wskaźnik i wykres w tym oknie, ale również mają możliwość sprawdzenia długoterminowych, czy miesięcznych notowań przy użyciu standardowego wykresu cen akcji Sony </w:t>
      </w:r>
      <w:proofErr w:type="spellStart"/>
      <w:r>
        <w:t>Corp</w:t>
      </w:r>
      <w:proofErr w:type="spellEnd"/>
      <w:r>
        <w:t xml:space="preserve"> na platformie transakcyjnej </w:t>
      </w:r>
      <w:proofErr w:type="spellStart"/>
      <w:r>
        <w:t>MetaTrader</w:t>
      </w:r>
      <w:proofErr w:type="spellEnd"/>
      <w:r>
        <w:t xml:space="preserve"> dostarczonej przez </w:t>
      </w:r>
      <w:proofErr w:type="spellStart"/>
      <w:r>
        <w:t>Admirals</w:t>
      </w:r>
      <w:proofErr w:type="spellEnd"/>
      <w:r>
        <w:t>.</w:t>
      </w:r>
    </w:p>
    <w:p w:rsidR="001222EE" w:rsidRDefault="001222EE" w:rsidP="001222EE">
      <w:pPr>
        <w:pStyle w:val="NormalnyWeb"/>
        <w:jc w:val="both"/>
      </w:pPr>
      <w:r>
        <w:rPr>
          <w:noProof/>
        </w:rPr>
        <w:lastRenderedPageBreak/>
        <w:drawing>
          <wp:inline distT="0" distB="0" distL="0" distR="0" wp14:anchorId="526528AC" wp14:editId="0DD63417">
            <wp:extent cx="6858000" cy="3835400"/>
            <wp:effectExtent l="0" t="0" r="0" b="0"/>
            <wp:docPr id="14" name="Obraz 14" descr="akcje japońskie Sony Corp - wyk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akcje japońskie Sony Corp - wykres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383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Źródło: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MetaTrader</w:t>
      </w:r>
      <w:proofErr w:type="spellEnd"/>
      <w:r>
        <w:rPr>
          <w:rStyle w:val="Uwydatnienie"/>
        </w:rPr>
        <w:t xml:space="preserve"> 5, #6758.JP, wykres miesięczny - Zakres danych: od 1 lipca 2008 do 10 maja 2020. Sporządzono dnia 10 maja 2020 o godzinie 13:15 GMT. Uwaga: Wyniki osiągnięte w przeszłości nie gwarantują podobnych w przyszłości.</w:t>
      </w:r>
    </w:p>
    <w:p w:rsidR="001222EE" w:rsidRDefault="001222EE" w:rsidP="001222EE">
      <w:pPr>
        <w:pStyle w:val="NormalnyWeb"/>
        <w:jc w:val="both"/>
      </w:pPr>
      <w:r>
        <w:t xml:space="preserve">Na powyższym miesięcznym wykresie cen akcji Sony </w:t>
      </w:r>
      <w:proofErr w:type="spellStart"/>
      <w:r>
        <w:t>Corp</w:t>
      </w:r>
      <w:proofErr w:type="spellEnd"/>
      <w:r>
        <w:t xml:space="preserve"> widać wyraźny trend wzrostowy, który rozpoczął się w 2013 roku. Czerwona linia to 50-okresowa wykładnicza średnia krocząca. Wskaźnik ten pomaga zidentyfikować trend na rynku. Jeśli cena znajduje się powyżej średniej ruchomej i linia ta również podąża wyżej, oznacza to, że ogólnie na rynku jest więcej kupujących, co stwarza wiele okazji handlowych dla </w:t>
      </w:r>
      <w:proofErr w:type="spellStart"/>
      <w:r>
        <w:t>traderów</w:t>
      </w:r>
      <w:proofErr w:type="spellEnd"/>
      <w:r>
        <w:t xml:space="preserve"> zgodnie z tym trendem. Ta analiza w połączeniu z informacjami, jakie dostarcza wskaźnik Technical </w:t>
      </w:r>
      <w:proofErr w:type="spellStart"/>
      <w:r>
        <w:t>Insight</w:t>
      </w:r>
      <w:proofErr w:type="spellEnd"/>
      <w:r>
        <w:t>™ może pomóc w stworzeniu skutecznej metodologii handlu.</w:t>
      </w:r>
    </w:p>
    <w:p w:rsidR="001222EE" w:rsidRDefault="001222EE" w:rsidP="001222EE">
      <w:pPr>
        <w:pStyle w:val="Nagwek3"/>
      </w:pPr>
      <w:r>
        <w:t xml:space="preserve">Dlaczego warto inwestować w akcje rynku japońskiego w </w:t>
      </w:r>
      <w:proofErr w:type="spellStart"/>
      <w:r>
        <w:t>Admirals</w:t>
      </w:r>
      <w:proofErr w:type="spellEnd"/>
      <w:r>
        <w:t>?</w:t>
      </w:r>
    </w:p>
    <w:p w:rsidR="001222EE" w:rsidRDefault="001222EE" w:rsidP="001222EE">
      <w:pPr>
        <w:pStyle w:val="NormalnyWeb"/>
        <w:jc w:val="both"/>
      </w:pPr>
      <w:r>
        <w:t xml:space="preserve">Oto kilka powodów, dla których warto rozpocząć handel z </w:t>
      </w:r>
      <w:proofErr w:type="spellStart"/>
      <w:r>
        <w:t>Admirals</w:t>
      </w:r>
      <w:proofErr w:type="spellEnd"/>
      <w:r>
        <w:t>:</w:t>
      </w:r>
    </w:p>
    <w:p w:rsidR="001222EE" w:rsidRDefault="001222EE" w:rsidP="001222EE">
      <w:pPr>
        <w:pStyle w:val="NormalnyWeb"/>
        <w:jc w:val="both"/>
      </w:pPr>
      <w:r>
        <w:rPr>
          <w:rFonts w:ascii="Segoe UI Symbol" w:hAnsi="Segoe UI Symbol" w:cs="Segoe UI Symbol"/>
        </w:rPr>
        <w:t>✔️</w:t>
      </w:r>
      <w:r>
        <w:t xml:space="preserve"> Handluj i inwestuj z brokerem regulowanym przez brytyjski Urząd Nadzoru Finansowego.</w:t>
      </w:r>
    </w:p>
    <w:p w:rsidR="001222EE" w:rsidRDefault="001222EE" w:rsidP="001222EE">
      <w:pPr>
        <w:pStyle w:val="NormalnyWeb"/>
        <w:jc w:val="both"/>
      </w:pPr>
      <w:r>
        <w:rPr>
          <w:rFonts w:ascii="Segoe UI Symbol" w:hAnsi="Segoe UI Symbol" w:cs="Segoe UI Symbol"/>
        </w:rPr>
        <w:t>✔️</w:t>
      </w:r>
      <w:r>
        <w:t xml:space="preserve"> Skorzystaj z </w:t>
      </w:r>
      <w:hyperlink r:id="rId35" w:tgtFrame="_blank" w:tooltip="ochrona salda forex" w:history="1">
        <w:r>
          <w:rPr>
            <w:rStyle w:val="Hipercze"/>
          </w:rPr>
          <w:t>Polityki Ochrony przed Ujemnym Saldem</w:t>
        </w:r>
      </w:hyperlink>
      <w:r>
        <w:t>, aby uchronić się przed nagłymi i niekorzystnymi ruchami cenowymi na rynku.</w:t>
      </w:r>
    </w:p>
    <w:p w:rsidR="001222EE" w:rsidRDefault="001222EE" w:rsidP="001222EE">
      <w:pPr>
        <w:pStyle w:val="NormalnyWeb"/>
        <w:jc w:val="both"/>
      </w:pPr>
      <w:r>
        <w:rPr>
          <w:rFonts w:ascii="Segoe UI Symbol" w:hAnsi="Segoe UI Symbol" w:cs="Segoe UI Symbol"/>
        </w:rPr>
        <w:t>✔️</w:t>
      </w:r>
      <w:r>
        <w:t xml:space="preserve"> Uzyskaj BEZPŁATNY dostęp do najszybszej i najpopularniejszej platformy transakcyjnej online </w:t>
      </w:r>
      <w:proofErr w:type="spellStart"/>
      <w:r>
        <w:t>MetaTrader</w:t>
      </w:r>
      <w:proofErr w:type="spellEnd"/>
      <w:r>
        <w:t>, z której możesz korzystać na komputerach PC, Mac, Web, Android oraz systemach operacyjnych iOS.</w:t>
      </w:r>
    </w:p>
    <w:p w:rsidR="001222EE" w:rsidRDefault="001222EE" w:rsidP="001222EE">
      <w:pPr>
        <w:pStyle w:val="NormalnyWeb"/>
        <w:jc w:val="both"/>
      </w:pPr>
      <w:r>
        <w:rPr>
          <w:rFonts w:ascii="Segoe UI Symbol" w:hAnsi="Segoe UI Symbol" w:cs="Segoe UI Symbol"/>
        </w:rPr>
        <w:lastRenderedPageBreak/>
        <w:t>✔️</w:t>
      </w:r>
      <w:r>
        <w:t xml:space="preserve"> Otwórz rachunek inwestycyjny Invest.MT5, aby kupować akcje i ETF-y z 15 największych giełd na świecie.</w:t>
      </w:r>
    </w:p>
    <w:p w:rsidR="001222EE" w:rsidRDefault="001222EE" w:rsidP="001222EE">
      <w:pPr>
        <w:pStyle w:val="NormalnyWeb"/>
        <w:jc w:val="both"/>
      </w:pPr>
      <w:r>
        <w:rPr>
          <w:rFonts w:ascii="Segoe UI Symbol" w:hAnsi="Segoe UI Symbol" w:cs="Segoe UI Symbol"/>
        </w:rPr>
        <w:t>✔️</w:t>
      </w:r>
      <w:r>
        <w:t xml:space="preserve"> Otwórz rachunek Trade.MT5 i rozpocznij handel kontraktami CFD (</w:t>
      </w:r>
      <w:hyperlink r:id="rId36" w:tgtFrame="_blank" w:tooltip="co to jest CFD" w:history="1">
        <w:r>
          <w:rPr>
            <w:rStyle w:val="Hipercze"/>
          </w:rPr>
          <w:t>kontrakty na różnice kursowe</w:t>
        </w:r>
      </w:hyperlink>
      <w:r>
        <w:t>). Otwieraj pozycje długie lub krótkie, dzięki czemu możesz wykorzystać zarówno spadki, jak i wzrosty kursów.</w:t>
      </w:r>
    </w:p>
    <w:p w:rsidR="001222EE" w:rsidRDefault="001222EE" w:rsidP="001222EE">
      <w:pPr>
        <w:pStyle w:val="NormalnyWeb"/>
        <w:jc w:val="both"/>
      </w:pPr>
      <w:r>
        <w:rPr>
          <w:rFonts w:ascii="Segoe UI Symbol" w:hAnsi="Segoe UI Symbol" w:cs="Segoe UI Symbol"/>
        </w:rPr>
        <w:t>✔️</w:t>
      </w:r>
      <w:r>
        <w:t xml:space="preserve"> Uzyskaj BEZPŁATNY dostęp do Trading Central przez bogatą w funkcje </w:t>
      </w:r>
      <w:proofErr w:type="spellStart"/>
      <w:r>
        <w:t>MetaTrader</w:t>
      </w:r>
      <w:proofErr w:type="spellEnd"/>
      <w:r>
        <w:t xml:space="preserve"> </w:t>
      </w:r>
      <w:proofErr w:type="spellStart"/>
      <w:r>
        <w:t>Supreme</w:t>
      </w:r>
      <w:proofErr w:type="spellEnd"/>
      <w:r>
        <w:t xml:space="preserve"> Edition udostępnianą przez </w:t>
      </w:r>
      <w:proofErr w:type="spellStart"/>
      <w:r>
        <w:t>Admirals</w:t>
      </w:r>
      <w:proofErr w:type="spellEnd"/>
      <w:r>
        <w:t>.</w:t>
      </w:r>
    </w:p>
    <w:p w:rsidR="001222EE" w:rsidRDefault="001222EE" w:rsidP="001222EE">
      <w:pPr>
        <w:pStyle w:val="NormalnyWeb"/>
        <w:jc w:val="both"/>
      </w:pPr>
      <w:r>
        <w:t>Zacznij już dziś, otwierając bezpłatny rachunek demo, abyś mógł inwestować w wirtualnym środowisku do momentu, aż poczujesz się gotowy, aby zacząć naprawdę inwestować!</w:t>
      </w:r>
    </w:p>
    <w:p w:rsidR="001222EE" w:rsidRDefault="001222EE" w:rsidP="001222EE">
      <w:r>
        <w:t>Wolny od ryzyka rachunek demo</w:t>
      </w:r>
    </w:p>
    <w:p w:rsidR="001222EE" w:rsidRDefault="001222EE" w:rsidP="001222EE">
      <w:pPr>
        <w:pStyle w:val="NormalnyWeb"/>
      </w:pPr>
      <w:r>
        <w:t>Zarejestruj się na bezpłatnym rachunku demo i testuj swoje strategie inwestycyjne</w:t>
      </w:r>
    </w:p>
    <w:p w:rsidR="001222EE" w:rsidRDefault="001222EE" w:rsidP="001222EE">
      <w:hyperlink r:id="rId37" w:tgtFrame="_blank" w:history="1">
        <w:r>
          <w:rPr>
            <w:rStyle w:val="Hipercze"/>
          </w:rPr>
          <w:t>OTWÓRZ RACHUNEK DEMO</w:t>
        </w:r>
      </w:hyperlink>
    </w:p>
    <w:p w:rsidR="001222EE" w:rsidRDefault="001222EE" w:rsidP="001222EE">
      <w:r>
        <w:rPr>
          <w:noProof/>
          <w:color w:val="0000FF"/>
          <w:lang w:eastAsia="pl-PL"/>
        </w:rPr>
        <w:drawing>
          <wp:inline distT="0" distB="0" distL="0" distR="0" wp14:anchorId="6D991584" wp14:editId="24DB6DE1">
            <wp:extent cx="1809750" cy="1809750"/>
            <wp:effectExtent l="0" t="0" r="0" b="0"/>
            <wp:docPr id="13" name="Obraz 13" descr="Wolny od ryzyka rachunek demo">
              <a:hlinkClick xmlns:a="http://schemas.openxmlformats.org/drawingml/2006/main" r:id="rId3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Wolny od ryzyka rachunek demo">
                      <a:hlinkClick r:id="rId3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EE" w:rsidRDefault="001222EE" w:rsidP="001222EE">
      <w:pPr>
        <w:pStyle w:val="NormalnyWeb"/>
        <w:jc w:val="both"/>
      </w:pPr>
      <w:r>
        <w:rPr>
          <w:b/>
          <w:bCs/>
        </w:rPr>
        <w:t>Inne artykuły, które mogą Cię również zainteresować:</w:t>
      </w:r>
    </w:p>
    <w:p w:rsidR="001222EE" w:rsidRDefault="001222EE" w:rsidP="001222EE">
      <w:pPr>
        <w:numPr>
          <w:ilvl w:val="0"/>
          <w:numId w:val="6"/>
        </w:numPr>
        <w:spacing w:before="100" w:beforeAutospacing="1" w:after="100" w:afterAutospacing="1" w:line="240" w:lineRule="auto"/>
        <w:jc w:val="both"/>
      </w:pPr>
      <w:hyperlink r:id="rId39" w:tgtFrame="_blank" w:tooltip="ftse100" w:history="1">
        <w:r>
          <w:rPr>
            <w:rStyle w:val="Hipercze"/>
          </w:rPr>
          <w:t>Jak handlować indeksem FTSE 100</w:t>
        </w:r>
      </w:hyperlink>
    </w:p>
    <w:p w:rsidR="001222EE" w:rsidRDefault="001222EE" w:rsidP="001222EE">
      <w:pPr>
        <w:numPr>
          <w:ilvl w:val="0"/>
          <w:numId w:val="6"/>
        </w:numPr>
        <w:spacing w:before="100" w:beforeAutospacing="1" w:after="100" w:afterAutospacing="1" w:line="240" w:lineRule="auto"/>
        <w:jc w:val="both"/>
      </w:pPr>
      <w:hyperlink r:id="rId40" w:tgtFrame="_blank" w:tooltip="kryzys giełda" w:history="1">
        <w:r>
          <w:rPr>
            <w:rStyle w:val="Hipercze"/>
          </w:rPr>
          <w:t>W co inwestować w kryzysie - lista najlepszych akcji</w:t>
        </w:r>
      </w:hyperlink>
    </w:p>
    <w:p w:rsidR="001222EE" w:rsidRDefault="001222EE" w:rsidP="001222EE">
      <w:pPr>
        <w:numPr>
          <w:ilvl w:val="0"/>
          <w:numId w:val="6"/>
        </w:numPr>
        <w:spacing w:before="100" w:beforeAutospacing="1" w:after="100" w:afterAutospacing="1" w:line="240" w:lineRule="auto"/>
        <w:jc w:val="both"/>
      </w:pPr>
      <w:hyperlink r:id="rId41" w:tgtFrame="_blank" w:tooltip="hedging na giełdzie" w:history="1">
        <w:r>
          <w:rPr>
            <w:rStyle w:val="Hipercze"/>
          </w:rPr>
          <w:t xml:space="preserve">Fundusze </w:t>
        </w:r>
        <w:proofErr w:type="spellStart"/>
        <w:r>
          <w:rPr>
            <w:rStyle w:val="Hipercze"/>
          </w:rPr>
          <w:t>hedge</w:t>
        </w:r>
        <w:proofErr w:type="spellEnd"/>
        <w:r>
          <w:rPr>
            <w:rStyle w:val="Hipercze"/>
          </w:rPr>
          <w:t xml:space="preserve"> - kompleksowy poradnik strategii dotyczących funduszy </w:t>
        </w:r>
        <w:proofErr w:type="spellStart"/>
        <w:r>
          <w:rPr>
            <w:rStyle w:val="Hipercze"/>
          </w:rPr>
          <w:t>hedgingowych</w:t>
        </w:r>
        <w:proofErr w:type="spellEnd"/>
      </w:hyperlink>
    </w:p>
    <w:p w:rsidR="001222EE" w:rsidRDefault="001222EE" w:rsidP="001222EE">
      <w:pPr>
        <w:pStyle w:val="NormalnyWeb"/>
        <w:jc w:val="both"/>
      </w:pPr>
      <w:r>
        <w:rPr>
          <w:b/>
          <w:bCs/>
        </w:rPr>
        <w:t xml:space="preserve">O </w:t>
      </w:r>
      <w:proofErr w:type="spellStart"/>
      <w:r>
        <w:rPr>
          <w:b/>
          <w:bCs/>
        </w:rPr>
        <w:t>Admirals</w:t>
      </w:r>
      <w:proofErr w:type="spellEnd"/>
    </w:p>
    <w:p w:rsidR="001222EE" w:rsidRDefault="001222EE" w:rsidP="001222EE">
      <w:pPr>
        <w:pStyle w:val="NormalnyWeb"/>
        <w:jc w:val="both"/>
      </w:pPr>
      <w:proofErr w:type="spellStart"/>
      <w:r>
        <w:t>Admirals</w:t>
      </w:r>
      <w:proofErr w:type="spellEnd"/>
      <w:r>
        <w:t xml:space="preserve"> to broker o globalnej obecności, który jest regulowany i licencjonowany przez różne organy regulacyjne. Umożliwia handel na ponad 8 000 instrumentów finansowych, takich jak </w:t>
      </w:r>
      <w:proofErr w:type="spellStart"/>
      <w:r>
        <w:t>Forex</w:t>
      </w:r>
      <w:proofErr w:type="spellEnd"/>
      <w:r>
        <w:t xml:space="preserve"> i CFD na akcje, indeksy, obligacje, towary, ETF i </w:t>
      </w:r>
      <w:proofErr w:type="spellStart"/>
      <w:r>
        <w:t>kryptowaluty</w:t>
      </w:r>
      <w:proofErr w:type="spellEnd"/>
      <w:r>
        <w:t>.</w:t>
      </w:r>
    </w:p>
    <w:p w:rsidR="001222EE" w:rsidRDefault="001222EE" w:rsidP="001222EE">
      <w:pPr>
        <w:pStyle w:val="NormalnyWeb"/>
        <w:jc w:val="both"/>
      </w:pPr>
      <w:r>
        <w:t xml:space="preserve">Poza wyżej wymienionymi zapewnia możliwość inwestowania w prawdziwe akcje i </w:t>
      </w:r>
      <w:hyperlink r:id="rId42" w:tgtFrame="_blank" w:tooltip="fundusze ETF" w:history="1">
        <w:r>
          <w:rPr>
            <w:rStyle w:val="Hipercze"/>
          </w:rPr>
          <w:t>fundusze ETF</w:t>
        </w:r>
      </w:hyperlink>
      <w:r>
        <w:t xml:space="preserve">. Dzięki </w:t>
      </w:r>
      <w:proofErr w:type="spellStart"/>
      <w:r>
        <w:t>Admirals</w:t>
      </w:r>
      <w:proofErr w:type="spellEnd"/>
      <w:r>
        <w:t xml:space="preserve"> możesz bezpłatnie korzystać z najbardziej innowacyjnych platform handlowych, takich jak </w:t>
      </w:r>
      <w:proofErr w:type="spellStart"/>
      <w:r>
        <w:t>MetaTrader</w:t>
      </w:r>
      <w:proofErr w:type="spellEnd"/>
      <w:r>
        <w:t xml:space="preserve"> 4 i </w:t>
      </w:r>
      <w:proofErr w:type="spellStart"/>
      <w:r>
        <w:t>MetaTrader</w:t>
      </w:r>
      <w:proofErr w:type="spellEnd"/>
      <w:r>
        <w:t xml:space="preserve"> 5, a także ekskluzywnej wtyczki </w:t>
      </w:r>
      <w:proofErr w:type="spellStart"/>
      <w:r>
        <w:t>MetaTrader</w:t>
      </w:r>
      <w:proofErr w:type="spellEnd"/>
      <w:r>
        <w:t xml:space="preserve"> </w:t>
      </w:r>
      <w:proofErr w:type="spellStart"/>
      <w:r>
        <w:t>Supreme</w:t>
      </w:r>
      <w:proofErr w:type="spellEnd"/>
      <w:r>
        <w:t xml:space="preserve"> Edition. </w:t>
      </w:r>
      <w:hyperlink r:id="rId43" w:tgtFrame="_blank" w:history="1">
        <w:r>
          <w:rPr>
            <w:rStyle w:val="Hipercze"/>
          </w:rPr>
          <w:t>Zacznij handlować już dziś</w:t>
        </w:r>
      </w:hyperlink>
      <w:r>
        <w:t>!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>INFORMACJE O MATERIAŁACH ANALITYCZNYCH: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lastRenderedPageBreak/>
        <w:t xml:space="preserve">Podane dane dostarczają dodatkowych informacji dotyczących wszystkich analiz, szacunków, prognoz, spekulacji, przewidywań, przeglądów rynku, prognoz tygodniowych lub innych podobnych ocen lub informacji (zwanych dalej "Analizą") publikowanych na stronie internetowej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>. Przed podjęciem jakichkolwiek decyzji inwestycyjnych należy zwrócić szczególną uwagę na następujące kwestie: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>1. Jest to komunikat marketingowy. Treści publikowane są wyłącznie w celach informacyjnych i w żaden sposób nie mogą być interpretowane jako doradztwa lub rekomendacji inwestycyjnej. Nie została ona przygotowana zgodnie z wymogami prawnymi mającymi na celu promowanie niezależności badań inwestycyjnych i nie podlega żadnemu zakazowi zajmowania się rozpowszechnianiem badań inwestycyjnych.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2. Każda decyzja inwestycyjna jest podejmowana indywidualnie przez każdego klienta, natomiast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 nie ponosi odpowiedzialności za jakiekolwiek straty lub szkody wynikające z takiej decyzji, niezależnie od tego, czy została podjęta w oparciu się o Analizę, czy też nie.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3. W celu ochrony interesów naszych klientów i obiektywności Analizy,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 ustanowił odpowiednie wewnętrzne procedury zapobiegania konfliktom interesów i zarządzania nimi.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>4. Analiza jest przygotowywana przez niezależnego analityka (</w:t>
      </w:r>
      <w:proofErr w:type="spellStart"/>
      <w:r>
        <w:rPr>
          <w:rStyle w:val="Uwydatnienie"/>
        </w:rPr>
        <w:t>Ghilesa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Guezout</w:t>
      </w:r>
      <w:proofErr w:type="spellEnd"/>
      <w:r>
        <w:rPr>
          <w:rStyle w:val="Uwydatnienie"/>
        </w:rPr>
        <w:t>) - niezależny współtwórca (zwanego dalej "Autorem") na podstawie osobistych szacunków.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5. Chociaż dokładamy wszelkich starań, aby zapewnić, że wszystkie źródła Analizy są wiarygodne oraz że wszystkie informacje są prezentowane w możliwe najbardziej zrozumiały, terminowy, precyzyjny i kompletny sposób,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 nie gwarantuje dokładności ani kompletności jakichkolwiek informacji zawartych w Analizie. Przedstawione dane liczbowe odnoszą się do wyników osiągniętych w przeszłości, które nie są wiarygodnym wskaźnikiem przyszłych wskaźników.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6. Jakikolwiek rodzaj wcześniejszego lub modelowego wykonania instrumentów finansowych wskazanych w Publikacji nie powinien być interpretowany jako wyraźna lub domniemana obietnica, gwarancja lub implikacja przez </w:t>
      </w:r>
      <w:proofErr w:type="spellStart"/>
      <w:r>
        <w:rPr>
          <w:rStyle w:val="Uwydatnienie"/>
        </w:rPr>
        <w:t>Admirals</w:t>
      </w:r>
      <w:proofErr w:type="spellEnd"/>
      <w:r>
        <w:rPr>
          <w:rStyle w:val="Uwydatnienie"/>
        </w:rPr>
        <w:t xml:space="preserve"> dla jakichkolwiek przyszłych wyników. Wartość instrumentu finansowego może zarówno wzrastać, jak i maleć, przy czym nie gwarantuje się zachowania wartości aktywów.</w:t>
      </w:r>
    </w:p>
    <w:p w:rsidR="001222EE" w:rsidRDefault="001222EE" w:rsidP="001222EE">
      <w:pPr>
        <w:pStyle w:val="NormalnyWeb"/>
        <w:jc w:val="both"/>
      </w:pPr>
      <w:r>
        <w:rPr>
          <w:rStyle w:val="Uwydatnienie"/>
        </w:rPr>
        <w:t xml:space="preserve">7. Instrumenty pochodne (w tym kontrakty CFD) mają charakter spekulacyjny i mogą prowadzić do strat lub zysków. Zanim zaczniesz handlować, powinieneś upewnić się, że rozumiesz związane z tym </w:t>
      </w:r>
      <w:hyperlink r:id="rId44" w:tgtFrame="_blank" w:history="1">
        <w:r>
          <w:rPr>
            <w:rStyle w:val="Hipercze"/>
          </w:rPr>
          <w:t>ryzyko</w:t>
        </w:r>
      </w:hyperlink>
      <w:r>
        <w:t>.</w:t>
      </w:r>
    </w:p>
    <w:p w:rsidR="001222EE" w:rsidRPr="00A21C03" w:rsidRDefault="001222EE" w:rsidP="001222EE"/>
    <w:p w:rsidR="001222EE" w:rsidRPr="000135EE" w:rsidRDefault="001222EE" w:rsidP="001222EE"/>
    <w:p w:rsidR="001222EE" w:rsidRDefault="001222EE"/>
    <w:sectPr w:rsidR="001222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01198"/>
    <w:multiLevelType w:val="multilevel"/>
    <w:tmpl w:val="4DB0D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966E4D"/>
    <w:multiLevelType w:val="multilevel"/>
    <w:tmpl w:val="7A20C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3B0414A"/>
    <w:multiLevelType w:val="multilevel"/>
    <w:tmpl w:val="D6286F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98E6FDF"/>
    <w:multiLevelType w:val="multilevel"/>
    <w:tmpl w:val="269C7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13025E"/>
    <w:multiLevelType w:val="multilevel"/>
    <w:tmpl w:val="13C4B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81F6D77"/>
    <w:multiLevelType w:val="multilevel"/>
    <w:tmpl w:val="7F6CC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2EE"/>
    <w:rsid w:val="001222EE"/>
    <w:rsid w:val="00DF3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E31CDA-16DD-49D3-A665-4CF6BD110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222EE"/>
  </w:style>
  <w:style w:type="paragraph" w:styleId="Nagwek2">
    <w:name w:val="heading 2"/>
    <w:basedOn w:val="Normalny"/>
    <w:link w:val="Nagwek2Znak"/>
    <w:uiPriority w:val="9"/>
    <w:qFormat/>
    <w:rsid w:val="001222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222E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222E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1222EE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222E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222EE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Hipercze">
    <w:name w:val="Hyperlink"/>
    <w:basedOn w:val="Domylnaczcionkaakapitu"/>
    <w:uiPriority w:val="99"/>
    <w:unhideWhenUsed/>
    <w:rsid w:val="001222EE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122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222EE"/>
    <w:rPr>
      <w:b/>
      <w:bCs/>
    </w:rPr>
  </w:style>
  <w:style w:type="character" w:styleId="Uwydatnienie">
    <w:name w:val="Emphasis"/>
    <w:basedOn w:val="Domylnaczcionkaakapitu"/>
    <w:uiPriority w:val="20"/>
    <w:qFormat/>
    <w:rsid w:val="001222E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jpx.co.jp/english/markets/statistics-equities/monthly/b5b4pj000003k4fd-att/04_jikaso2006.pdf" TargetMode="External"/><Relationship Id="rId18" Type="http://schemas.openxmlformats.org/officeDocument/2006/relationships/hyperlink" Target="https://admiralmarkets.com/pl/start-trading/contract-specifications" TargetMode="External"/><Relationship Id="rId26" Type="http://schemas.openxmlformats.org/officeDocument/2006/relationships/hyperlink" Target="https://admiralmarkets.com/pl/education/articles/forex-analysis/wprowadzenie-do-analizy-technicznej-na-forex" TargetMode="External"/><Relationship Id="rId39" Type="http://schemas.openxmlformats.org/officeDocument/2006/relationships/hyperlink" Target="https://admiralmarkets.com/pl/education/articles/trading-instruments/ftse-trading" TargetMode="External"/><Relationship Id="rId21" Type="http://schemas.openxmlformats.org/officeDocument/2006/relationships/image" Target="media/image9.png"/><Relationship Id="rId34" Type="http://schemas.openxmlformats.org/officeDocument/2006/relationships/image" Target="media/image14.png"/><Relationship Id="rId42" Type="http://schemas.openxmlformats.org/officeDocument/2006/relationships/hyperlink" Target="https://admiralmarkets.com/pl/education/articles/etfs" TargetMode="Externa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9" Type="http://schemas.openxmlformats.org/officeDocument/2006/relationships/hyperlink" Target="https://admiralmarkets.com/pl/start-trading/trading-calculator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admiralmarkets.com/pl" TargetMode="External"/><Relationship Id="rId11" Type="http://schemas.openxmlformats.org/officeDocument/2006/relationships/hyperlink" Target="https://www.statista.com/statistics/270126/largest-stock-exchange-operators-by-market-capitalization-of-listed-companies/" TargetMode="External"/><Relationship Id="rId24" Type="http://schemas.openxmlformats.org/officeDocument/2006/relationships/hyperlink" Target="https://admiralmarkets.com/pl/trading-platforms/metatrader-5" TargetMode="External"/><Relationship Id="rId32" Type="http://schemas.openxmlformats.org/officeDocument/2006/relationships/image" Target="media/image13.png"/><Relationship Id="rId37" Type="http://schemas.openxmlformats.org/officeDocument/2006/relationships/hyperlink" Target="https://admiralmarkets.com/pl/start-trading/forex-demo" TargetMode="External"/><Relationship Id="rId40" Type="http://schemas.openxmlformats.org/officeDocument/2006/relationships/hyperlink" Target="https://admiralmarkets.com/pl/education/articles/trading-instruments/kryzys-finansowy-inwestowanie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admiralmarkets.com/pl/education/articles/shares/akcje-rynku-japonskiego" TargetMode="External"/><Relationship Id="rId15" Type="http://schemas.openxmlformats.org/officeDocument/2006/relationships/image" Target="media/image5.png"/><Relationship Id="rId23" Type="http://schemas.openxmlformats.org/officeDocument/2006/relationships/image" Target="media/image10.jpeg"/><Relationship Id="rId28" Type="http://schemas.openxmlformats.org/officeDocument/2006/relationships/image" Target="media/image11.png"/><Relationship Id="rId36" Type="http://schemas.openxmlformats.org/officeDocument/2006/relationships/hyperlink" Target="https://admiralmarkets.com/pl/education/articles/forex-basics/cfd-definicja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8.jpeg"/><Relationship Id="rId31" Type="http://schemas.openxmlformats.org/officeDocument/2006/relationships/image" Target="media/image12.png"/><Relationship Id="rId44" Type="http://schemas.openxmlformats.org/officeDocument/2006/relationships/hyperlink" Target="https://admiralmarkets.com/pl/risk-disclosur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dmiralmarkets.com/pl/education/articles/shares/inwestowanie-na-gieldzie-amerykanskiej" TargetMode="External"/><Relationship Id="rId14" Type="http://schemas.openxmlformats.org/officeDocument/2006/relationships/hyperlink" Target="https://admiralmarkets.com/pl/trading-platforms/metatrader-5" TargetMode="External"/><Relationship Id="rId22" Type="http://schemas.openxmlformats.org/officeDocument/2006/relationships/hyperlink" Target="https://pl.wikipedia.org/wiki/Bank_Japonii" TargetMode="External"/><Relationship Id="rId27" Type="http://schemas.openxmlformats.org/officeDocument/2006/relationships/hyperlink" Target="https://admiralmarkets.com/pl/trading-platforms/metatrader-se" TargetMode="External"/><Relationship Id="rId30" Type="http://schemas.openxmlformats.org/officeDocument/2006/relationships/hyperlink" Target="https://admiralmarkets.com/pl/trading-platforms/metatrader-se/tradingcentral" TargetMode="External"/><Relationship Id="rId35" Type="http://schemas.openxmlformats.org/officeDocument/2006/relationships/hyperlink" Target="https://admiralmarkets.com/pl/start-trading/documents/negative-account-balance-protection-policy" TargetMode="External"/><Relationship Id="rId43" Type="http://schemas.openxmlformats.org/officeDocument/2006/relationships/hyperlink" Target="https://admiralmarkets.com/pl/start-trading" TargetMode="External"/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12" Type="http://schemas.openxmlformats.org/officeDocument/2006/relationships/image" Target="media/image4.jpeg"/><Relationship Id="rId17" Type="http://schemas.openxmlformats.org/officeDocument/2006/relationships/image" Target="media/image7.jpeg"/><Relationship Id="rId25" Type="http://schemas.openxmlformats.org/officeDocument/2006/relationships/hyperlink" Target="https://admiralmarkets.com/pl/education/articles/market-statistics/skutecznosc-analizy-fundamentalnej" TargetMode="External"/><Relationship Id="rId33" Type="http://schemas.openxmlformats.org/officeDocument/2006/relationships/hyperlink" Target="https://admiralmarkets.com/pl/education/articles/forex-indicators/wskazniki-forex-ktore-kazdy-powinien-znac" TargetMode="External"/><Relationship Id="rId38" Type="http://schemas.openxmlformats.org/officeDocument/2006/relationships/image" Target="media/image15.png"/><Relationship Id="rId46" Type="http://schemas.openxmlformats.org/officeDocument/2006/relationships/theme" Target="theme/theme1.xml"/><Relationship Id="rId20" Type="http://schemas.openxmlformats.org/officeDocument/2006/relationships/hyperlink" Target="https://admiralmarkets.com/pl/start-trading/admiral-invest-stocks-and-etfs" TargetMode="External"/><Relationship Id="rId41" Type="http://schemas.openxmlformats.org/officeDocument/2006/relationships/hyperlink" Target="https://admiralmarkets.com/pl/education/articles/forex-strategy/hedgin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3401</Words>
  <Characters>20412</Characters>
  <Application>Microsoft Office Word</Application>
  <DocSecurity>0</DocSecurity>
  <Lines>170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1</cp:revision>
  <dcterms:created xsi:type="dcterms:W3CDTF">2025-01-06T13:03:00Z</dcterms:created>
  <dcterms:modified xsi:type="dcterms:W3CDTF">2025-01-06T13:05:00Z</dcterms:modified>
</cp:coreProperties>
</file>